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9CB73" w14:textId="46EAE350" w:rsidR="00CA021A" w:rsidRPr="00CA021A" w:rsidRDefault="00CA021A" w:rsidP="00DB3305">
      <w:pPr>
        <w:spacing w:after="0" w:line="240" w:lineRule="auto"/>
        <w:jc w:val="center"/>
        <w:rPr>
          <w:rFonts w:ascii="Times New Roman" w:hAnsi="Times New Roman" w:cs="Times New Roman"/>
          <w:b/>
          <w:bCs/>
          <w:sz w:val="24"/>
          <w:szCs w:val="24"/>
        </w:rPr>
      </w:pPr>
      <w:bookmarkStart w:id="0" w:name="_Hlk56447651"/>
      <w:r w:rsidRPr="00DB3305">
        <w:rPr>
          <w:rFonts w:ascii="Times New Roman" w:hAnsi="Times New Roman" w:cs="Times New Roman"/>
          <w:b/>
          <w:bCs/>
          <w:sz w:val="24"/>
          <w:szCs w:val="24"/>
        </w:rPr>
        <w:t>Evaluation of Bone Fusion and Clinical Outcome of a Stand-Alone Polyether Ether Ketone Cage Filled with Biphasic Calcium Phosphate Used in One Level Anterior Cervical Discectomy and Fusion</w:t>
      </w:r>
      <w:bookmarkEnd w:id="0"/>
    </w:p>
    <w:p w14:paraId="1BA03D0A" w14:textId="1017C4E9" w:rsidR="006E3CEA" w:rsidRPr="00CA021A" w:rsidRDefault="006E3CEA" w:rsidP="006E3CEA">
      <w:pPr>
        <w:spacing w:after="0" w:line="276" w:lineRule="auto"/>
        <w:jc w:val="center"/>
        <w:rPr>
          <w:rFonts w:ascii="Times New Roman" w:hAnsi="Times New Roman" w:cs="Times New Roman"/>
          <w:sz w:val="24"/>
          <w:szCs w:val="24"/>
        </w:rPr>
      </w:pPr>
      <w:r w:rsidRPr="00CA021A">
        <w:rPr>
          <w:rFonts w:ascii="Times New Roman" w:hAnsi="Times New Roman" w:cs="Times New Roman"/>
          <w:sz w:val="24"/>
          <w:szCs w:val="24"/>
        </w:rPr>
        <w:t>Ashraf El-Desouky, MD, Mohammed Hammad</w:t>
      </w:r>
      <w:r w:rsidR="00C10322" w:rsidRPr="00CA021A">
        <w:rPr>
          <w:rFonts w:ascii="Times New Roman" w:hAnsi="Times New Roman" w:cs="Times New Roman"/>
          <w:sz w:val="24"/>
          <w:szCs w:val="24"/>
        </w:rPr>
        <w:t xml:space="preserve"> </w:t>
      </w:r>
      <w:r w:rsidR="003F6FF9" w:rsidRPr="00CA021A">
        <w:rPr>
          <w:rFonts w:ascii="Times New Roman" w:hAnsi="Times New Roman" w:cs="Times New Roman"/>
          <w:sz w:val="24"/>
          <w:szCs w:val="24"/>
        </w:rPr>
        <w:t>Eltantawy,</w:t>
      </w:r>
      <w:r w:rsidRPr="00CA021A">
        <w:rPr>
          <w:rFonts w:ascii="Times New Roman" w:hAnsi="Times New Roman" w:cs="Times New Roman"/>
          <w:sz w:val="24"/>
          <w:szCs w:val="24"/>
        </w:rPr>
        <w:t xml:space="preserve"> MD, Ahmed A. Arab, MD </w:t>
      </w:r>
    </w:p>
    <w:p w14:paraId="3E7FF453" w14:textId="2FB72BDE" w:rsidR="00591910" w:rsidRPr="00CA021A" w:rsidRDefault="006E3CEA" w:rsidP="006E3CEA">
      <w:pPr>
        <w:spacing w:after="0" w:line="276" w:lineRule="auto"/>
        <w:jc w:val="center"/>
        <w:rPr>
          <w:rFonts w:ascii="Times New Roman" w:hAnsi="Times New Roman" w:cs="Times New Roman"/>
          <w:sz w:val="24"/>
          <w:szCs w:val="24"/>
        </w:rPr>
      </w:pPr>
      <w:r w:rsidRPr="00CA021A">
        <w:rPr>
          <w:rFonts w:ascii="Times New Roman" w:hAnsi="Times New Roman" w:cs="Times New Roman"/>
          <w:sz w:val="24"/>
          <w:szCs w:val="24"/>
        </w:rPr>
        <w:t>Neurosurgery Department, Benha University</w:t>
      </w:r>
    </w:p>
    <w:p w14:paraId="46BE887A" w14:textId="77777777" w:rsidR="00CA021A" w:rsidRPr="00DB3305" w:rsidRDefault="00CA021A" w:rsidP="00DB3305">
      <w:pPr>
        <w:spacing w:after="0" w:line="240" w:lineRule="auto"/>
        <w:rPr>
          <w:rFonts w:ascii="Times New Roman" w:hAnsi="Times New Roman" w:cs="Times New Roman"/>
          <w:b/>
          <w:bCs/>
          <w:sz w:val="24"/>
          <w:szCs w:val="24"/>
        </w:rPr>
      </w:pPr>
      <w:r w:rsidRPr="00DB3305">
        <w:rPr>
          <w:rFonts w:ascii="Times New Roman" w:hAnsi="Times New Roman" w:cs="Times New Roman"/>
          <w:b/>
          <w:bCs/>
          <w:sz w:val="24"/>
          <w:szCs w:val="24"/>
        </w:rPr>
        <w:t>ABSTRACT</w:t>
      </w:r>
    </w:p>
    <w:p w14:paraId="1686818C" w14:textId="77777777" w:rsidR="00CA021A" w:rsidRPr="003B0098" w:rsidRDefault="00CA021A" w:rsidP="00DB3305">
      <w:pPr>
        <w:spacing w:after="0" w:line="240" w:lineRule="auto"/>
        <w:jc w:val="both"/>
        <w:rPr>
          <w:rFonts w:ascii="Times New Roman" w:hAnsi="Times New Roman" w:cs="Times New Roman"/>
          <w:b/>
          <w:bCs/>
          <w:sz w:val="24"/>
          <w:szCs w:val="24"/>
          <w:lang w:val="en-GB"/>
        </w:rPr>
      </w:pPr>
      <w:bookmarkStart w:id="1" w:name="_Hlk41511600"/>
      <w:r w:rsidRPr="00944001">
        <w:rPr>
          <w:rFonts w:ascii="Times New Roman" w:hAnsi="Times New Roman" w:cs="Times New Roman"/>
          <w:b/>
          <w:bCs/>
          <w:sz w:val="24"/>
          <w:szCs w:val="24"/>
        </w:rPr>
        <w:t>Background;</w:t>
      </w:r>
      <w:r w:rsidRPr="003B0098">
        <w:rPr>
          <w:rFonts w:ascii="Times New Roman" w:hAnsi="Times New Roman" w:cs="Times New Roman"/>
          <w:b/>
          <w:bCs/>
          <w:sz w:val="24"/>
          <w:szCs w:val="24"/>
          <w:lang w:val="en-GB"/>
        </w:rPr>
        <w:t xml:space="preserve"> </w:t>
      </w:r>
      <w:bookmarkEnd w:id="1"/>
      <w:r w:rsidRPr="003B0098">
        <w:rPr>
          <w:rFonts w:ascii="Times New Roman" w:hAnsi="Times New Roman" w:cs="Times New Roman"/>
          <w:sz w:val="24"/>
          <w:szCs w:val="24"/>
        </w:rPr>
        <w:t>Although autologous bone grafts harvested from iliac crest were used since the early days of ACDF, they caused donor site morbidities. PEEK cages used in cervical spine surgeries on a wide scale with controversy of their filling material.</w:t>
      </w:r>
    </w:p>
    <w:p w14:paraId="41248770" w14:textId="77777777" w:rsidR="00CA021A" w:rsidRPr="003B0098" w:rsidRDefault="00CA021A" w:rsidP="00DB3305">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GB"/>
        </w:rPr>
        <w:t>T</w:t>
      </w:r>
      <w:r w:rsidRPr="003B0098">
        <w:rPr>
          <w:rFonts w:ascii="Times New Roman" w:hAnsi="Times New Roman" w:cs="Times New Roman"/>
          <w:sz w:val="24"/>
          <w:szCs w:val="24"/>
        </w:rPr>
        <w:t>his study is to evaluate bone fusion and clinical outcome of one level ACDF using stand-alone PEEK cage filled with Biphasic Calcium Phosphate granules in treatment of degenerative CDD</w:t>
      </w:r>
    </w:p>
    <w:p w14:paraId="316CBAA4" w14:textId="77777777" w:rsidR="00CA021A" w:rsidRPr="003B0098" w:rsidRDefault="00CA021A" w:rsidP="00DB3305">
      <w:pPr>
        <w:spacing w:after="0" w:line="240" w:lineRule="auto"/>
        <w:jc w:val="both"/>
        <w:rPr>
          <w:rFonts w:ascii="Times New Roman" w:hAnsi="Times New Roman" w:cs="Times New Roman"/>
          <w:b/>
          <w:bCs/>
          <w:sz w:val="24"/>
          <w:szCs w:val="24"/>
          <w:lang w:val="en-GB"/>
        </w:rPr>
      </w:pPr>
      <w:r w:rsidRPr="003B0098">
        <w:rPr>
          <w:rFonts w:ascii="Times New Roman" w:hAnsi="Times New Roman" w:cs="Times New Roman"/>
          <w:b/>
          <w:bCs/>
          <w:sz w:val="24"/>
          <w:szCs w:val="24"/>
          <w:lang w:val="en-GB"/>
        </w:rPr>
        <w:t xml:space="preserve">Methods: </w:t>
      </w:r>
      <w:r w:rsidRPr="00DB3305">
        <w:rPr>
          <w:rFonts w:ascii="Times New Roman" w:hAnsi="Times New Roman" w:cs="Times New Roman"/>
          <w:sz w:val="24"/>
          <w:szCs w:val="24"/>
        </w:rPr>
        <w:t xml:space="preserve">A prospective study, where patients with single level degenerative CDD, underwent ACDF using our technique from April 2017 to April 2019 with one year follow up. Preoperative and one-year postoperative </w:t>
      </w:r>
      <w:bookmarkStart w:id="2" w:name="_Hlk44099809"/>
      <w:r w:rsidRPr="00DB3305">
        <w:rPr>
          <w:rFonts w:ascii="Times New Roman" w:hAnsi="Times New Roman" w:cs="Times New Roman"/>
          <w:sz w:val="24"/>
          <w:szCs w:val="24"/>
        </w:rPr>
        <w:t xml:space="preserve">Visual Analog Scale </w:t>
      </w:r>
      <w:bookmarkEnd w:id="2"/>
      <w:r w:rsidRPr="00DB3305">
        <w:rPr>
          <w:rFonts w:ascii="Times New Roman" w:hAnsi="Times New Roman" w:cs="Times New Roman"/>
          <w:sz w:val="24"/>
          <w:szCs w:val="24"/>
        </w:rPr>
        <w:t>(VAS)</w:t>
      </w:r>
      <w:r w:rsidRPr="00DB3305">
        <w:rPr>
          <w:rFonts w:ascii="Times New Roman" w:hAnsi="Times New Roman" w:cs="Times New Roman"/>
          <w:color w:val="FF0000"/>
          <w:sz w:val="24"/>
          <w:szCs w:val="24"/>
        </w:rPr>
        <w:t xml:space="preserve"> </w:t>
      </w:r>
      <w:r w:rsidRPr="00DB3305">
        <w:rPr>
          <w:rFonts w:ascii="Times New Roman" w:hAnsi="Times New Roman" w:cs="Times New Roman"/>
          <w:sz w:val="24"/>
          <w:szCs w:val="24"/>
        </w:rPr>
        <w:t>for neck pain and arm pain assessed. One-year postoperative Odom clinical outcome scoring system, Patient Satisfaction Index (PSI) and bone fusion assessed.</w:t>
      </w:r>
      <w:r w:rsidRPr="00DB3305">
        <w:rPr>
          <w:rFonts w:ascii="Times New Roman" w:eastAsia="Times New Roman" w:hAnsi="Times New Roman" w:cs="Times New Roman"/>
          <w:sz w:val="24"/>
          <w:szCs w:val="24"/>
        </w:rPr>
        <w:t xml:space="preserve"> Bone fusion considered successful if bridging bone incorporating graft and adjoining vertebral endplates was apparent.</w:t>
      </w:r>
      <w:r w:rsidRPr="003B0098">
        <w:rPr>
          <w:rFonts w:ascii="Times New Roman" w:eastAsia="Times New Roman" w:hAnsi="Times New Roman" w:cs="Times New Roman"/>
          <w:sz w:val="24"/>
          <w:szCs w:val="24"/>
        </w:rPr>
        <w:t xml:space="preserve"> </w:t>
      </w:r>
    </w:p>
    <w:p w14:paraId="3340EF15" w14:textId="77777777" w:rsidR="00CA021A" w:rsidRPr="003B0098" w:rsidRDefault="00CA021A" w:rsidP="00DB3305">
      <w:pPr>
        <w:spacing w:after="0" w:line="240" w:lineRule="auto"/>
        <w:jc w:val="both"/>
        <w:rPr>
          <w:rFonts w:ascii="Times New Roman" w:eastAsia="Times New Roman" w:hAnsi="Times New Roman" w:cs="Times New Roman"/>
          <w:color w:val="231F20"/>
          <w:sz w:val="24"/>
          <w:szCs w:val="24"/>
        </w:rPr>
      </w:pPr>
      <w:r w:rsidRPr="003B0098">
        <w:rPr>
          <w:rFonts w:ascii="Times New Roman" w:hAnsi="Times New Roman" w:cs="Times New Roman"/>
          <w:b/>
          <w:bCs/>
          <w:sz w:val="24"/>
          <w:szCs w:val="24"/>
          <w:lang w:val="en-GB"/>
        </w:rPr>
        <w:t>Results:</w:t>
      </w:r>
      <w:r w:rsidRPr="003B0098">
        <w:rPr>
          <w:rFonts w:ascii="Times New Roman" w:eastAsia="Times New Roman" w:hAnsi="Times New Roman" w:cs="Times New Roman"/>
          <w:color w:val="231F20"/>
          <w:sz w:val="24"/>
          <w:szCs w:val="24"/>
        </w:rPr>
        <w:t xml:space="preserve"> </w:t>
      </w:r>
      <w:r w:rsidRPr="00DB3305">
        <w:rPr>
          <w:rFonts w:ascii="Times New Roman" w:eastAsia="Times New Roman" w:hAnsi="Times New Roman" w:cs="Times New Roman"/>
          <w:color w:val="231F20"/>
          <w:sz w:val="24"/>
          <w:szCs w:val="24"/>
        </w:rPr>
        <w:t>19 patients included, 14</w:t>
      </w:r>
      <w:r w:rsidRPr="00DB3305">
        <w:rPr>
          <w:rFonts w:ascii="Times New Roman" w:eastAsia="Times New Roman" w:hAnsi="Times New Roman" w:cs="Times New Roman"/>
          <w:sz w:val="24"/>
          <w:szCs w:val="24"/>
        </w:rPr>
        <w:t xml:space="preserve"> female patients (73.68%) and 5 male patients (26.32%). </w:t>
      </w:r>
      <w:r w:rsidRPr="00DB3305">
        <w:rPr>
          <w:rFonts w:ascii="Times New Roman" w:eastAsia="Times New Roman" w:hAnsi="Times New Roman" w:cs="Times New Roman"/>
          <w:color w:val="231F20"/>
          <w:sz w:val="24"/>
          <w:szCs w:val="24"/>
        </w:rPr>
        <w:t>The preoperative mean VAS for neck pain and arm pain improved from 7.37±1.74 and7.96 ±1.24 to 2.95±1.27 and 2.21 ±1.01 respectively. This difference found statistically significant. According to Odom scoring system, 15 patients (78.95%) had excellent outcome and 4 patients (21.05%) had good outcome and by using PSI, 16 patients (84.21%) were grade 1 and 3 patients (15.79%) were grade 2. 17 patients (89.47 %) showed bone fusion, while 2 patients (10.53 %) showed non-union.</w:t>
      </w:r>
      <w:r w:rsidRPr="003B0098">
        <w:rPr>
          <w:rFonts w:ascii="Times New Roman" w:eastAsia="Times New Roman" w:hAnsi="Times New Roman" w:cs="Times New Roman"/>
          <w:color w:val="231F20"/>
          <w:sz w:val="24"/>
          <w:szCs w:val="24"/>
        </w:rPr>
        <w:t xml:space="preserve"> </w:t>
      </w:r>
    </w:p>
    <w:p w14:paraId="5D20D9BC" w14:textId="77777777" w:rsidR="00CA021A" w:rsidRPr="00BF424E" w:rsidRDefault="00CA021A" w:rsidP="00DB3305">
      <w:pPr>
        <w:spacing w:after="0" w:line="240" w:lineRule="auto"/>
        <w:jc w:val="both"/>
        <w:rPr>
          <w:rFonts w:ascii="Times New Roman" w:hAnsi="Times New Roman" w:cs="Times New Roman"/>
          <w:b/>
          <w:bCs/>
          <w:sz w:val="24"/>
          <w:szCs w:val="24"/>
          <w:lang w:val="en-GB"/>
        </w:rPr>
      </w:pPr>
      <w:bookmarkStart w:id="3" w:name="_Hlk44012992"/>
      <w:r w:rsidRPr="003B0098">
        <w:rPr>
          <w:rFonts w:ascii="Times New Roman" w:hAnsi="Times New Roman" w:cs="Times New Roman"/>
          <w:b/>
          <w:bCs/>
          <w:sz w:val="24"/>
          <w:szCs w:val="24"/>
          <w:lang w:val="en-GB"/>
        </w:rPr>
        <w:t xml:space="preserve">Conclusion: </w:t>
      </w:r>
      <w:r w:rsidRPr="00055CE5">
        <w:rPr>
          <w:rFonts w:ascii="Times New Roman" w:eastAsia="Times New Roman" w:hAnsi="Times New Roman" w:cs="Times New Roman"/>
          <w:color w:val="000000"/>
          <w:sz w:val="24"/>
          <w:szCs w:val="24"/>
        </w:rPr>
        <w:t>we found our technique</w:t>
      </w:r>
      <w:r>
        <w:rPr>
          <w:rFonts w:ascii="Times New Roman" w:hAnsi="Times New Roman" w:cs="Times New Roman"/>
          <w:b/>
          <w:bCs/>
          <w:sz w:val="24"/>
          <w:szCs w:val="24"/>
          <w:lang w:val="en-GB"/>
        </w:rPr>
        <w:t xml:space="preserve"> </w:t>
      </w:r>
      <w:r w:rsidRPr="003B0098">
        <w:rPr>
          <w:rFonts w:ascii="Times New Roman" w:eastAsia="Times New Roman" w:hAnsi="Times New Roman" w:cs="Times New Roman"/>
          <w:color w:val="000000"/>
          <w:sz w:val="24"/>
          <w:szCs w:val="24"/>
        </w:rPr>
        <w:t xml:space="preserve">safe and effective alternative with bone fusion and clinical outcome comparable to those of other options.                                                                                                                                                                        </w:t>
      </w:r>
      <w:bookmarkEnd w:id="3"/>
    </w:p>
    <w:p w14:paraId="0D57D292" w14:textId="2A0399AD" w:rsidR="00CA021A" w:rsidRPr="00CA021A" w:rsidRDefault="00CA021A" w:rsidP="00DB3305">
      <w:pPr>
        <w:spacing w:after="0"/>
        <w:rPr>
          <w:rFonts w:ascii="Times New Roman" w:eastAsia="Times New Roman" w:hAnsi="Times New Roman" w:cs="Times New Roman"/>
          <w:color w:val="000000"/>
          <w:sz w:val="24"/>
          <w:szCs w:val="24"/>
        </w:rPr>
      </w:pPr>
      <w:r w:rsidRPr="00CA021A">
        <w:rPr>
          <w:rFonts w:ascii="Times New Roman" w:eastAsia="Times New Roman" w:hAnsi="Times New Roman" w:cs="Times New Roman"/>
          <w:b/>
          <w:bCs/>
          <w:color w:val="000000"/>
          <w:sz w:val="24"/>
          <w:szCs w:val="24"/>
        </w:rPr>
        <w:t>Key words;</w:t>
      </w:r>
      <w:r>
        <w:rPr>
          <w:b/>
          <w:bCs/>
          <w:sz w:val="24"/>
          <w:szCs w:val="24"/>
        </w:rPr>
        <w:t xml:space="preserve"> </w:t>
      </w:r>
      <w:r w:rsidRPr="00BF424E">
        <w:rPr>
          <w:rFonts w:ascii="Times New Roman" w:eastAsia="Times New Roman" w:hAnsi="Times New Roman" w:cs="Times New Roman"/>
          <w:color w:val="000000"/>
          <w:sz w:val="24"/>
          <w:szCs w:val="24"/>
        </w:rPr>
        <w:t>Anterior cervical discectomy; PEEK cage; Biphasic calcium phosphate</w:t>
      </w:r>
    </w:p>
    <w:p w14:paraId="1E0729EC" w14:textId="043B6E31" w:rsidR="00D63660" w:rsidRDefault="00ED736D" w:rsidP="00380D66">
      <w:pPr>
        <w:spacing w:after="0" w:line="240" w:lineRule="auto"/>
        <w:jc w:val="both"/>
        <w:rPr>
          <w:rFonts w:ascii="Times New Roman" w:eastAsia="Times New Roman" w:hAnsi="Times New Roman" w:cs="Times New Roman"/>
          <w:color w:val="000000"/>
          <w:sz w:val="24"/>
          <w:szCs w:val="24"/>
        </w:rPr>
      </w:pPr>
      <w:r w:rsidRPr="00CA021A">
        <w:rPr>
          <w:rFonts w:ascii="Times New Roman" w:eastAsia="Times New Roman" w:hAnsi="Times New Roman" w:cs="Times New Roman"/>
          <w:color w:val="000000"/>
          <w:sz w:val="24"/>
          <w:szCs w:val="24"/>
        </w:rPr>
        <w:t xml:space="preserve">Correspondence </w:t>
      </w:r>
      <w:r w:rsidR="00DB3305" w:rsidRPr="00CA021A">
        <w:rPr>
          <w:rFonts w:ascii="Times New Roman" w:eastAsia="Times New Roman" w:hAnsi="Times New Roman" w:cs="Times New Roman"/>
          <w:color w:val="000000"/>
          <w:sz w:val="24"/>
          <w:szCs w:val="24"/>
        </w:rPr>
        <w:t>to Ashraf</w:t>
      </w:r>
      <w:r w:rsidRPr="00CA021A">
        <w:rPr>
          <w:rFonts w:ascii="Times New Roman" w:eastAsia="Times New Roman" w:hAnsi="Times New Roman" w:cs="Times New Roman"/>
          <w:color w:val="000000"/>
          <w:sz w:val="24"/>
          <w:szCs w:val="24"/>
        </w:rPr>
        <w:t xml:space="preserve"> EL-Desouky. Department of Neurosurgery, Benha University; Egypt Tel.: +201112421973                                   </w:t>
      </w:r>
      <w:r w:rsidR="00983859" w:rsidRPr="00CA021A">
        <w:rPr>
          <w:rFonts w:ascii="Times New Roman" w:eastAsia="Times New Roman" w:hAnsi="Times New Roman" w:cs="Times New Roman"/>
          <w:color w:val="000000"/>
          <w:sz w:val="24"/>
          <w:szCs w:val="24"/>
        </w:rPr>
        <w:t xml:space="preserve">                       </w:t>
      </w:r>
      <w:r w:rsidRPr="00CA021A">
        <w:rPr>
          <w:rFonts w:ascii="Times New Roman" w:eastAsia="Times New Roman" w:hAnsi="Times New Roman" w:cs="Times New Roman"/>
          <w:color w:val="000000"/>
          <w:sz w:val="24"/>
          <w:szCs w:val="24"/>
        </w:rPr>
        <w:t xml:space="preserve"> Email:  </w:t>
      </w:r>
      <w:hyperlink r:id="rId8" w:history="1">
        <w:r w:rsidRPr="00CA021A">
          <w:rPr>
            <w:rFonts w:ascii="Times New Roman" w:eastAsia="Times New Roman" w:hAnsi="Times New Roman" w:cs="Times New Roman"/>
            <w:color w:val="000000"/>
            <w:sz w:val="24"/>
            <w:szCs w:val="24"/>
          </w:rPr>
          <w:t>ashrafeldesouky73@gmail.com</w:t>
        </w:r>
      </w:hyperlink>
    </w:p>
    <w:p w14:paraId="14CBF4F7" w14:textId="77777777" w:rsidR="00CA021A" w:rsidRDefault="00CA021A" w:rsidP="00380D66">
      <w:pPr>
        <w:spacing w:after="0" w:line="240" w:lineRule="auto"/>
        <w:jc w:val="both"/>
        <w:rPr>
          <w:rFonts w:eastAsia="Times New Roman" w:cstheme="minorHAnsi"/>
          <w:color w:val="0563C1"/>
          <w:sz w:val="24"/>
          <w:szCs w:val="24"/>
          <w:u w:val="single"/>
          <w:lang w:val="pt-PT" w:eastAsia="zh-CN"/>
        </w:rPr>
      </w:pPr>
    </w:p>
    <w:p w14:paraId="24A59617" w14:textId="77777777" w:rsidR="00CA021A" w:rsidRPr="003B0098" w:rsidRDefault="00CA021A" w:rsidP="00CA021A">
      <w:pPr>
        <w:autoSpaceDE w:val="0"/>
        <w:autoSpaceDN w:val="0"/>
        <w:bidi/>
        <w:adjustRightInd w:val="0"/>
        <w:spacing w:after="0" w:line="480" w:lineRule="auto"/>
        <w:jc w:val="right"/>
        <w:rPr>
          <w:rFonts w:ascii="Times New Roman" w:eastAsia="Times New Roman" w:hAnsi="Times New Roman" w:cs="Times New Roman"/>
          <w:b/>
          <w:bCs/>
          <w:color w:val="231F20"/>
          <w:sz w:val="24"/>
          <w:szCs w:val="24"/>
        </w:rPr>
      </w:pPr>
      <w:r w:rsidRPr="003B0098">
        <w:rPr>
          <w:rFonts w:ascii="Times New Roman" w:eastAsia="Times New Roman" w:hAnsi="Times New Roman" w:cs="Times New Roman"/>
          <w:b/>
          <w:bCs/>
          <w:color w:val="231F20"/>
          <w:sz w:val="24"/>
          <w:szCs w:val="24"/>
        </w:rPr>
        <w:t xml:space="preserve">Introduction: </w:t>
      </w:r>
    </w:p>
    <w:p w14:paraId="7F7BC6D2" w14:textId="1CEDC967" w:rsidR="00CA021A" w:rsidRPr="00865635" w:rsidRDefault="00CA021A" w:rsidP="00DB3305">
      <w:pPr>
        <w:shd w:val="clear" w:color="auto" w:fill="FFFFFF"/>
        <w:spacing w:after="0" w:line="240" w:lineRule="auto"/>
        <w:jc w:val="both"/>
        <w:rPr>
          <w:rFonts w:ascii="Times New Roman" w:hAnsi="Times New Roman" w:cs="Times New Roman"/>
          <w:sz w:val="24"/>
          <w:szCs w:val="24"/>
        </w:rPr>
      </w:pPr>
      <w:r w:rsidRPr="003B0098">
        <w:rPr>
          <w:rFonts w:ascii="Times New Roman" w:eastAsia="Times New Roman" w:hAnsi="Times New Roman" w:cs="Times New Roman"/>
          <w:color w:val="000000"/>
          <w:sz w:val="24"/>
          <w:szCs w:val="24"/>
        </w:rPr>
        <w:t>In the cervical spine, Spondylosis is the most common cause of neural dysfunction. It may cause compression of the cervical neural axis to present as neck pain, radiculopathy, myelopathy or radiculomyelopathy.</w:t>
      </w:r>
      <w:r w:rsidRPr="003B0098">
        <w:rPr>
          <w:rFonts w:ascii="Times New Roman" w:eastAsia="Times New Roman" w:hAnsi="Times New Roman" w:cs="Times New Roman"/>
          <w:color w:val="FF0000"/>
          <w:sz w:val="24"/>
          <w:szCs w:val="24"/>
        </w:rPr>
        <w:t xml:space="preserve"> </w:t>
      </w:r>
      <w:r w:rsidRPr="003B0098">
        <w:rPr>
          <w:rFonts w:ascii="Times New Roman" w:eastAsia="Times New Roman" w:hAnsi="Times New Roman" w:cs="Times New Roman"/>
          <w:sz w:val="24"/>
          <w:szCs w:val="24"/>
        </w:rPr>
        <w:t>Conservative</w:t>
      </w:r>
      <w:r w:rsidRPr="003B0098">
        <w:rPr>
          <w:rFonts w:ascii="Times New Roman" w:eastAsia="Times New Roman" w:hAnsi="Times New Roman" w:cs="Times New Roman"/>
          <w:color w:val="000000"/>
          <w:sz w:val="24"/>
          <w:szCs w:val="24"/>
        </w:rPr>
        <w:t xml:space="preserve"> management is the preferred and often only required intervention, while surgery is indicated in unresponsive patients.</w:t>
      </w:r>
      <w:r>
        <w:rPr>
          <w:rFonts w:ascii="Times New Roman" w:eastAsia="Times New Roman" w:hAnsi="Times New Roman" w:cs="Times New Roman"/>
          <w:color w:val="000000"/>
          <w:sz w:val="24"/>
          <w:szCs w:val="24"/>
        </w:rPr>
        <w:t>[1]</w:t>
      </w:r>
      <w:r w:rsidRPr="003B0098">
        <w:rPr>
          <w:rFonts w:ascii="Times New Roman" w:hAnsi="Times New Roman" w:cs="Times New Roman"/>
          <w:sz w:val="24"/>
          <w:szCs w:val="24"/>
          <w:vertAlign w:val="superscript"/>
        </w:rPr>
        <w:t xml:space="preserve"> </w:t>
      </w:r>
      <w:r w:rsidRPr="003B0098">
        <w:rPr>
          <w:rFonts w:ascii="Times New Roman" w:hAnsi="Times New Roman" w:cs="Times New Roman"/>
          <w:sz w:val="24"/>
          <w:szCs w:val="24"/>
        </w:rPr>
        <w:t xml:space="preserve">For the surgical treatment of cervical disc disease, anterior cervical discectomy and fusion (ACDF) is the gold standard.  Since this technique is originally described by Smith and Robinson, many modifications of it have been reported. </w:t>
      </w:r>
      <w:r w:rsidRPr="00324112">
        <w:rPr>
          <w:rFonts w:ascii="Times New Roman" w:hAnsi="Times New Roman" w:cs="Times New Roman"/>
          <w:sz w:val="24"/>
          <w:szCs w:val="24"/>
        </w:rPr>
        <w:t xml:space="preserve">[2] </w:t>
      </w:r>
      <w:r w:rsidRPr="003B0098">
        <w:rPr>
          <w:rFonts w:ascii="Times New Roman" w:eastAsia="Times New Roman" w:hAnsi="Times New Roman" w:cs="Times New Roman"/>
          <w:color w:val="000000"/>
          <w:sz w:val="24"/>
          <w:szCs w:val="24"/>
        </w:rPr>
        <w:t>The anterior approach has many advantages including minimal injury of soft tissue, decompression   of the spinal cord and nerve roots under direct visualization, complete removal of degenerative disc and facilitate fusion through access to two vertebral endplates with a considerable surface area.</w:t>
      </w:r>
      <w:r>
        <w:rPr>
          <w:rFonts w:ascii="Times New Roman" w:eastAsia="Times New Roman" w:hAnsi="Times New Roman" w:cs="Times New Roman"/>
          <w:color w:val="000000"/>
          <w:sz w:val="24"/>
          <w:szCs w:val="24"/>
        </w:rPr>
        <w:t>[3]</w:t>
      </w:r>
      <w:r w:rsidRPr="003B0098">
        <w:rPr>
          <w:rFonts w:ascii="Times New Roman" w:hAnsi="Times New Roman" w:cs="Times New Roman"/>
          <w:sz w:val="24"/>
          <w:szCs w:val="24"/>
        </w:rPr>
        <w:t xml:space="preserve"> The success of this technique relies on thorough decompression and the development of solid bony fusion.</w:t>
      </w:r>
      <w:r>
        <w:rPr>
          <w:rFonts w:ascii="Times New Roman" w:hAnsi="Times New Roman" w:cs="Times New Roman"/>
          <w:sz w:val="24"/>
          <w:szCs w:val="24"/>
        </w:rPr>
        <w:t>[4]</w:t>
      </w:r>
      <w:r w:rsidRPr="003B0098">
        <w:rPr>
          <w:rFonts w:ascii="Times New Roman" w:eastAsia="Times New Roman" w:hAnsi="Times New Roman" w:cs="Times New Roman"/>
          <w:color w:val="FF0000"/>
          <w:sz w:val="24"/>
          <w:szCs w:val="24"/>
        </w:rPr>
        <w:t xml:space="preserve"> </w:t>
      </w:r>
      <w:r w:rsidRPr="003B0098">
        <w:rPr>
          <w:rFonts w:ascii="Times New Roman" w:eastAsia="Times New Roman" w:hAnsi="Times New Roman" w:cs="Times New Roman"/>
          <w:color w:val="000000"/>
          <w:sz w:val="24"/>
          <w:szCs w:val="24"/>
        </w:rPr>
        <w:t>Although complications are rare the most commonly occurring problems are dysphagia, wound hematoma and recurrent laryngeal nerve palsy.</w:t>
      </w:r>
      <w:r>
        <w:rPr>
          <w:rFonts w:ascii="Times New Roman" w:eastAsia="Times New Roman" w:hAnsi="Times New Roman" w:cs="Times New Roman"/>
          <w:color w:val="000000"/>
          <w:sz w:val="24"/>
          <w:szCs w:val="24"/>
        </w:rPr>
        <w:t>[5]</w:t>
      </w:r>
      <w:r w:rsidRPr="003B0098">
        <w:rPr>
          <w:rFonts w:ascii="Times New Roman" w:hAnsi="Times New Roman" w:cs="Times New Roman"/>
          <w:color w:val="FF0000"/>
          <w:sz w:val="24"/>
          <w:szCs w:val="24"/>
          <w:vertAlign w:val="superscript"/>
        </w:rPr>
        <w:t xml:space="preserve"> </w:t>
      </w:r>
      <w:r w:rsidRPr="003B0098">
        <w:rPr>
          <w:rFonts w:ascii="Times New Roman" w:hAnsi="Times New Roman" w:cs="Times New Roman"/>
          <w:sz w:val="24"/>
          <w:szCs w:val="24"/>
        </w:rPr>
        <w:t>Bone grafts and bone graft substitutes can be osteoconductive, osteo-inductive, or osteogenic or have some combination of these properties. Autologous bone grafts work by all three mechanisms</w:t>
      </w:r>
      <w:r w:rsidRPr="00162F7D">
        <w:rPr>
          <w:rFonts w:ascii="Times New Roman" w:hAnsi="Times New Roman" w:cs="Times New Roman"/>
          <w:sz w:val="24"/>
          <w:szCs w:val="24"/>
        </w:rPr>
        <w:t xml:space="preserve">.[6] </w:t>
      </w:r>
      <w:r w:rsidRPr="003B0098">
        <w:rPr>
          <w:rFonts w:ascii="Times New Roman" w:hAnsi="Times New Roman" w:cs="Times New Roman"/>
          <w:sz w:val="24"/>
          <w:szCs w:val="24"/>
        </w:rPr>
        <w:t>In the early days of ACDF, autologous bone grafts from the iliac crest were used</w:t>
      </w:r>
      <w:r>
        <w:rPr>
          <w:rFonts w:ascii="Times New Roman" w:hAnsi="Times New Roman" w:cs="Times New Roman"/>
          <w:sz w:val="24"/>
          <w:szCs w:val="24"/>
        </w:rPr>
        <w:t>. [7]</w:t>
      </w:r>
      <w:r w:rsidRPr="003B0098">
        <w:rPr>
          <w:rFonts w:ascii="Times New Roman" w:hAnsi="Times New Roman" w:cs="Times New Roman"/>
          <w:sz w:val="24"/>
          <w:szCs w:val="24"/>
        </w:rPr>
        <w:t>.</w:t>
      </w:r>
      <w:r w:rsidRPr="003B0098">
        <w:rPr>
          <w:rFonts w:ascii="Times New Roman" w:eastAsia="Times New Roman" w:hAnsi="Times New Roman" w:cs="Times New Roman"/>
          <w:color w:val="000000"/>
          <w:sz w:val="24"/>
          <w:szCs w:val="24"/>
        </w:rPr>
        <w:t xml:space="preserve">Although </w:t>
      </w:r>
      <w:r w:rsidRPr="003B0098">
        <w:rPr>
          <w:rFonts w:ascii="Times New Roman" w:eastAsia="Times New Roman" w:hAnsi="Times New Roman" w:cs="Times New Roman"/>
          <w:color w:val="000000"/>
          <w:sz w:val="24"/>
          <w:szCs w:val="24"/>
        </w:rPr>
        <w:lastRenderedPageBreak/>
        <w:t>autograft remains the gold standard in ACDF, harvest of the graft  can cause  complications and morbidity, namely donor site pain, hematoma, numbness and  infection.</w:t>
      </w:r>
      <w:r>
        <w:rPr>
          <w:rFonts w:ascii="Times New Roman" w:eastAsia="Times New Roman" w:hAnsi="Times New Roman" w:cs="Times New Roman"/>
          <w:color w:val="000000"/>
          <w:sz w:val="24"/>
          <w:szCs w:val="24"/>
        </w:rPr>
        <w:t>[8,9]</w:t>
      </w:r>
      <w:r w:rsidRPr="003B0098">
        <w:rPr>
          <w:rFonts w:ascii="Times New Roman" w:eastAsia="Times New Roman" w:hAnsi="Times New Roman" w:cs="Times New Roman"/>
          <w:color w:val="FF0000"/>
          <w:sz w:val="24"/>
          <w:szCs w:val="24"/>
        </w:rPr>
        <w:t xml:space="preserve"> </w:t>
      </w:r>
      <w:r w:rsidRPr="003B0098">
        <w:rPr>
          <w:rFonts w:ascii="Times New Roman" w:eastAsia="Times New Roman" w:hAnsi="Times New Roman" w:cs="Times New Roman"/>
          <w:color w:val="000000"/>
          <w:sz w:val="24"/>
          <w:szCs w:val="24"/>
        </w:rPr>
        <w:t>In the efforts to circumvent the need for autograft, allograft gained popularity but it has its complications e.g. the risk of infection ,disease transmission, and possible histocompatibility differences.</w:t>
      </w:r>
      <w:r>
        <w:rPr>
          <w:rFonts w:ascii="Times New Roman" w:eastAsia="Times New Roman" w:hAnsi="Times New Roman" w:cs="Times New Roman"/>
          <w:color w:val="000000"/>
          <w:sz w:val="24"/>
          <w:szCs w:val="24"/>
        </w:rPr>
        <w:t>[10]</w:t>
      </w:r>
      <w:r w:rsidRPr="003B0098">
        <w:rPr>
          <w:rFonts w:ascii="Times New Roman" w:eastAsia="Times New Roman" w:hAnsi="Times New Roman" w:cs="Times New Roman"/>
          <w:color w:val="000000"/>
          <w:sz w:val="24"/>
          <w:szCs w:val="24"/>
        </w:rPr>
        <w:t xml:space="preserve"> So, the goal behind the creation of intervertebral cages with bone graft substitute technologies has been developed  to minimize or eliminate  complications related to the use of  autograft and allograft with improving clinical outcomes</w:t>
      </w:r>
      <w:r w:rsidRPr="00162F7D">
        <w:rPr>
          <w:rFonts w:ascii="Times New Roman" w:eastAsia="Times New Roman" w:hAnsi="Times New Roman" w:cs="Times New Roman"/>
          <w:sz w:val="24"/>
          <w:szCs w:val="24"/>
        </w:rPr>
        <w:t>.</w:t>
      </w:r>
      <w:r w:rsidRPr="00162F7D">
        <w:rPr>
          <w:rFonts w:ascii="Times New Roman" w:hAnsi="Times New Roman" w:cs="Times New Roman"/>
          <w:sz w:val="24"/>
          <w:szCs w:val="24"/>
        </w:rPr>
        <w:t>[11]</w:t>
      </w:r>
      <w:r w:rsidRPr="00162F7D">
        <w:rPr>
          <w:rFonts w:ascii="Times New Roman" w:eastAsia="Times New Roman" w:hAnsi="Times New Roman" w:cs="Times New Roman"/>
          <w:sz w:val="24"/>
          <w:szCs w:val="24"/>
        </w:rPr>
        <w:t xml:space="preserve">  </w:t>
      </w:r>
      <w:r w:rsidRPr="003B0098">
        <w:rPr>
          <w:rFonts w:ascii="Times New Roman" w:hAnsi="Times New Roman" w:cs="Times New Roman"/>
          <w:sz w:val="24"/>
          <w:szCs w:val="24"/>
        </w:rPr>
        <w:t>Many synthetic materials have been used such as titanium cages, carbon cages, and Polyether Ether Ketone (PEEK) cages.</w:t>
      </w:r>
      <w:r>
        <w:rPr>
          <w:rFonts w:ascii="Times New Roman" w:hAnsi="Times New Roman" w:cs="Times New Roman"/>
          <w:sz w:val="24"/>
          <w:szCs w:val="24"/>
        </w:rPr>
        <w:t>[12]</w:t>
      </w:r>
      <w:r w:rsidRPr="003B0098">
        <w:rPr>
          <w:rFonts w:ascii="Times New Roman" w:hAnsi="Times New Roman" w:cs="Times New Roman"/>
          <w:sz w:val="24"/>
          <w:szCs w:val="24"/>
        </w:rPr>
        <w:t xml:space="preserve"> Cervical cages give instant stability and enlarge neural foraminal space. </w:t>
      </w:r>
      <w:r w:rsidRPr="00865635">
        <w:rPr>
          <w:rFonts w:ascii="Times New Roman" w:hAnsi="Times New Roman" w:cs="Times New Roman"/>
          <w:sz w:val="24"/>
          <w:szCs w:val="24"/>
        </w:rPr>
        <w:t>[13]</w:t>
      </w:r>
      <w:r w:rsidRPr="00865635">
        <w:rPr>
          <w:rFonts w:ascii="Times New Roman" w:eastAsia="Times New Roman" w:hAnsi="Times New Roman" w:cs="Times New Roman"/>
          <w:sz w:val="24"/>
          <w:szCs w:val="24"/>
        </w:rPr>
        <w:t xml:space="preserve"> </w:t>
      </w:r>
      <w:r w:rsidRPr="003B0098">
        <w:rPr>
          <w:rFonts w:ascii="Times New Roman" w:hAnsi="Times New Roman" w:cs="Times New Roman"/>
          <w:sz w:val="24"/>
          <w:szCs w:val="24"/>
        </w:rPr>
        <w:t>In 1990s PEEK cage was introduced and due to its radiolucency, which permits easy evaluation of fusion and its equivalent stiffness to bone, they used in cervical spine surgeries on a wide scale</w:t>
      </w:r>
      <w:r w:rsidRPr="00865635">
        <w:rPr>
          <w:rFonts w:ascii="Times New Roman" w:hAnsi="Times New Roman" w:cs="Times New Roman"/>
          <w:sz w:val="24"/>
          <w:szCs w:val="24"/>
        </w:rPr>
        <w:t xml:space="preserve">.[14] </w:t>
      </w:r>
      <w:r w:rsidRPr="003B0098">
        <w:rPr>
          <w:rFonts w:ascii="Times New Roman" w:hAnsi="Times New Roman" w:cs="Times New Roman"/>
          <w:sz w:val="24"/>
          <w:szCs w:val="24"/>
        </w:rPr>
        <w:t>PEEK itself is inactive and has no ability to connect to bone, Thus PEEK was filled with other substances to encourage new bone formation from bony walls which achieves implant fusion in little time.</w:t>
      </w:r>
      <w:r>
        <w:rPr>
          <w:rFonts w:ascii="Times New Roman" w:hAnsi="Times New Roman" w:cs="Times New Roman"/>
          <w:color w:val="FF0000"/>
          <w:sz w:val="24"/>
          <w:szCs w:val="24"/>
          <w:vertAlign w:val="superscript"/>
        </w:rPr>
        <w:t xml:space="preserve"> </w:t>
      </w:r>
      <w:r>
        <w:rPr>
          <w:rFonts w:ascii="Times New Roman" w:hAnsi="Times New Roman" w:cs="Times New Roman"/>
          <w:sz w:val="24"/>
          <w:szCs w:val="24"/>
        </w:rPr>
        <w:t>[15]</w:t>
      </w:r>
      <w:r w:rsidRPr="003B0098">
        <w:rPr>
          <w:rFonts w:ascii="Times New Roman" w:hAnsi="Times New Roman" w:cs="Times New Roman"/>
          <w:sz w:val="24"/>
          <w:szCs w:val="24"/>
        </w:rPr>
        <w:t>A few surgeons have used the implantation of an empty cage during the ACDF; however, they have not reached a general agreement due to suspicion of low bone fusion rate</w:t>
      </w:r>
      <w:r w:rsidRPr="00865635">
        <w:rPr>
          <w:rFonts w:ascii="Times New Roman" w:hAnsi="Times New Roman" w:cs="Times New Roman"/>
          <w:sz w:val="24"/>
          <w:szCs w:val="24"/>
        </w:rPr>
        <w:t>.[16]</w:t>
      </w:r>
    </w:p>
    <w:p w14:paraId="4A8757A8" w14:textId="77777777" w:rsidR="00CA021A" w:rsidRPr="003B0098" w:rsidRDefault="00CA021A" w:rsidP="00DB3305">
      <w:pPr>
        <w:spacing w:after="0" w:line="240" w:lineRule="auto"/>
        <w:jc w:val="both"/>
        <w:rPr>
          <w:rFonts w:ascii="Times New Roman" w:hAnsi="Times New Roman" w:cs="Times New Roman"/>
          <w:sz w:val="24"/>
          <w:szCs w:val="24"/>
        </w:rPr>
      </w:pPr>
      <w:r w:rsidRPr="003B0098">
        <w:rPr>
          <w:rFonts w:ascii="Times New Roman" w:hAnsi="Times New Roman" w:cs="Times New Roman"/>
          <w:sz w:val="24"/>
          <w:szCs w:val="24"/>
        </w:rPr>
        <w:t xml:space="preserve">The aim of the present study is to evaluate the bone fusion and clinical outcome of one level ACDF using a stand-alone PEEK cage filled with BCP granules to test efficacy of the technique   we use in our institution in treatment of   single level degenerative cervical disc disease </w:t>
      </w:r>
    </w:p>
    <w:p w14:paraId="29AD87DE" w14:textId="77777777" w:rsidR="00915B26" w:rsidRDefault="00915B26" w:rsidP="00C30649">
      <w:pPr>
        <w:autoSpaceDE w:val="0"/>
        <w:autoSpaceDN w:val="0"/>
        <w:bidi/>
        <w:adjustRightInd w:val="0"/>
        <w:spacing w:after="0" w:line="240" w:lineRule="auto"/>
        <w:jc w:val="right"/>
        <w:rPr>
          <w:rFonts w:ascii="Times New Roman" w:eastAsia="Times New Roman" w:hAnsi="Times New Roman" w:cs="Times New Roman"/>
          <w:b/>
          <w:bCs/>
          <w:color w:val="231F20"/>
          <w:sz w:val="24"/>
          <w:szCs w:val="24"/>
        </w:rPr>
      </w:pPr>
      <w:r w:rsidRPr="00520074">
        <w:rPr>
          <w:rFonts w:ascii="Times New Roman" w:eastAsia="Times New Roman" w:hAnsi="Times New Roman" w:cs="Times New Roman"/>
          <w:b/>
          <w:bCs/>
          <w:color w:val="231F20"/>
          <w:sz w:val="24"/>
          <w:szCs w:val="24"/>
        </w:rPr>
        <w:t>METHODS</w:t>
      </w:r>
    </w:p>
    <w:p w14:paraId="01422692" w14:textId="77777777" w:rsidR="00915B26" w:rsidRPr="002B650E" w:rsidRDefault="00915B26" w:rsidP="00C30649">
      <w:pPr>
        <w:autoSpaceDE w:val="0"/>
        <w:autoSpaceDN w:val="0"/>
        <w:bidi/>
        <w:adjustRightInd w:val="0"/>
        <w:spacing w:after="0" w:line="240" w:lineRule="auto"/>
        <w:jc w:val="right"/>
        <w:rPr>
          <w:rFonts w:ascii="Times New Roman" w:eastAsia="Times New Roman" w:hAnsi="Times New Roman" w:cs="Times New Roman"/>
          <w:color w:val="231F20"/>
          <w:sz w:val="24"/>
          <w:szCs w:val="24"/>
        </w:rPr>
      </w:pPr>
      <w:bookmarkStart w:id="4" w:name="_Hlk53834553"/>
      <w:r w:rsidRPr="00865635">
        <w:rPr>
          <w:rFonts w:ascii="Times New Roman" w:eastAsia="Times New Roman" w:hAnsi="Times New Roman" w:cs="Times New Roman"/>
          <w:color w:val="231F20"/>
          <w:sz w:val="24"/>
          <w:szCs w:val="24"/>
          <w:u w:val="single"/>
        </w:rPr>
        <w:t>Study design:</w:t>
      </w:r>
      <w:r>
        <w:rPr>
          <w:rFonts w:ascii="Times New Roman" w:eastAsia="Times New Roman" w:hAnsi="Times New Roman" w:cs="Times New Roman"/>
          <w:color w:val="231F20"/>
          <w:sz w:val="24"/>
          <w:szCs w:val="24"/>
        </w:rPr>
        <w:t xml:space="preserve"> </w:t>
      </w:r>
      <w:r w:rsidRPr="002B650E">
        <w:rPr>
          <w:rFonts w:ascii="Times New Roman" w:eastAsia="Times New Roman" w:hAnsi="Times New Roman" w:cs="Times New Roman"/>
          <w:color w:val="231F20"/>
          <w:sz w:val="24"/>
          <w:szCs w:val="24"/>
        </w:rPr>
        <w:t xml:space="preserve"> this is an observational prospective clinical study</w:t>
      </w:r>
    </w:p>
    <w:bookmarkEnd w:id="4"/>
    <w:p w14:paraId="61CE5720" w14:textId="77777777" w:rsidR="00915B26" w:rsidRPr="00520074" w:rsidRDefault="00915B26" w:rsidP="00C30649">
      <w:pPr>
        <w:autoSpaceDE w:val="0"/>
        <w:autoSpaceDN w:val="0"/>
        <w:adjustRightInd w:val="0"/>
        <w:spacing w:after="0" w:line="240" w:lineRule="auto"/>
        <w:jc w:val="both"/>
        <w:rPr>
          <w:rFonts w:ascii="Times New Roman" w:hAnsi="Times New Roman" w:cs="Times New Roman"/>
          <w:sz w:val="24"/>
          <w:szCs w:val="24"/>
        </w:rPr>
      </w:pPr>
      <w:r w:rsidRPr="00520074">
        <w:rPr>
          <w:rFonts w:ascii="Times New Roman" w:hAnsi="Times New Roman" w:cs="Times New Roman"/>
          <w:sz w:val="24"/>
          <w:szCs w:val="24"/>
        </w:rPr>
        <w:t>This study included all patients admitted to Neurosurgery Department of Benha University Hospital with single level degenerative CDD who underwent ACDF using a stand-alone (non- platted) PEEK cage ( Amseo medical industries</w:t>
      </w:r>
      <w:r w:rsidRPr="00520074">
        <w:rPr>
          <w:rFonts w:ascii="Times New Roman" w:hAnsi="Times New Roman" w:cs="Times New Roman"/>
          <w:sz w:val="24"/>
          <w:szCs w:val="24"/>
          <w:vertAlign w:val="superscript"/>
        </w:rPr>
        <w:t xml:space="preserve"> MT </w:t>
      </w:r>
      <w:r w:rsidRPr="00520074">
        <w:rPr>
          <w:rFonts w:ascii="Times New Roman" w:hAnsi="Times New Roman" w:cs="Times New Roman"/>
          <w:sz w:val="24"/>
          <w:szCs w:val="24"/>
        </w:rPr>
        <w:t>Egypt) filled with Biphasic Calcium Phosphate (BCP) granules (BCP BiCalPhos 60%HA+40%TCP</w:t>
      </w:r>
      <w:r w:rsidRPr="00520074">
        <w:rPr>
          <w:rFonts w:ascii="Times New Roman" w:hAnsi="Times New Roman" w:cs="Times New Roman"/>
          <w:color w:val="FF0000"/>
          <w:sz w:val="24"/>
          <w:szCs w:val="24"/>
        </w:rPr>
        <w:t xml:space="preserve"> </w:t>
      </w:r>
      <w:r w:rsidRPr="00520074">
        <w:rPr>
          <w:rFonts w:ascii="Times New Roman" w:hAnsi="Times New Roman" w:cs="Times New Roman"/>
          <w:sz w:val="24"/>
          <w:szCs w:val="24"/>
        </w:rPr>
        <w:t>granules: Medtronic Sofamor Danek USA Inc.)</w:t>
      </w:r>
      <w:r w:rsidRPr="00520074">
        <w:rPr>
          <w:rFonts w:ascii="Times New Roman" w:hAnsi="Times New Roman" w:cs="Times New Roman"/>
          <w:color w:val="FF0000"/>
          <w:sz w:val="24"/>
          <w:szCs w:val="24"/>
        </w:rPr>
        <w:t xml:space="preserve"> </w:t>
      </w:r>
      <w:r w:rsidRPr="00520074">
        <w:rPr>
          <w:rFonts w:ascii="Times New Roman" w:hAnsi="Times New Roman" w:cs="Times New Roman"/>
          <w:sz w:val="24"/>
          <w:szCs w:val="24"/>
        </w:rPr>
        <w:t>as synthetic bone graft substitute for interbody fusion from April 2017 to April 2019 with one year follow up for clinical and bone fusion evaluation. All included patients had single level CDD on preoperative MRI cervical spine causing radiculopathy or radiculo‐myelopathy and unresponsive to at least three months of conservative treatment before surgery. For all included patients, history was taken in details and full neurological examination.</w:t>
      </w:r>
    </w:p>
    <w:p w14:paraId="43F14749" w14:textId="77777777" w:rsidR="00915B26" w:rsidRPr="00520074" w:rsidRDefault="00915B26" w:rsidP="00DB3305">
      <w:pPr>
        <w:autoSpaceDE w:val="0"/>
        <w:autoSpaceDN w:val="0"/>
        <w:adjustRightInd w:val="0"/>
        <w:spacing w:after="0" w:line="240" w:lineRule="auto"/>
        <w:jc w:val="both"/>
        <w:rPr>
          <w:rFonts w:ascii="Times New Roman" w:hAnsi="Times New Roman" w:cs="Times New Roman"/>
          <w:sz w:val="24"/>
          <w:szCs w:val="24"/>
        </w:rPr>
      </w:pPr>
      <w:r w:rsidRPr="00520074">
        <w:rPr>
          <w:rFonts w:ascii="Times New Roman" w:hAnsi="Times New Roman" w:cs="Times New Roman"/>
          <w:sz w:val="24"/>
          <w:szCs w:val="24"/>
        </w:rPr>
        <w:t>Exclusion criteria:</w:t>
      </w:r>
    </w:p>
    <w:p w14:paraId="1A48869A" w14:textId="7CFC1467" w:rsidR="00915B26" w:rsidRPr="00520074" w:rsidRDefault="00915B26" w:rsidP="00DB3305">
      <w:pPr>
        <w:autoSpaceDE w:val="0"/>
        <w:autoSpaceDN w:val="0"/>
        <w:adjustRightInd w:val="0"/>
        <w:spacing w:after="0" w:line="240" w:lineRule="auto"/>
        <w:jc w:val="both"/>
        <w:rPr>
          <w:rFonts w:ascii="Times New Roman" w:hAnsi="Times New Roman" w:cs="Times New Roman"/>
          <w:sz w:val="24"/>
          <w:szCs w:val="24"/>
        </w:rPr>
      </w:pPr>
      <w:r w:rsidRPr="00520074">
        <w:rPr>
          <w:rFonts w:ascii="Times New Roman" w:hAnsi="Times New Roman" w:cs="Times New Roman"/>
          <w:sz w:val="24"/>
          <w:szCs w:val="24"/>
        </w:rPr>
        <w:t xml:space="preserve">the patients with more than one level CDD, the patients with traumatic CDD, patients operated upon using other bone graft materials </w:t>
      </w:r>
      <w:r w:rsidR="00DB3305" w:rsidRPr="00520074">
        <w:rPr>
          <w:rFonts w:ascii="Times New Roman" w:hAnsi="Times New Roman" w:cs="Times New Roman"/>
          <w:sz w:val="24"/>
          <w:szCs w:val="24"/>
        </w:rPr>
        <w:t>e.g.,</w:t>
      </w:r>
      <w:r w:rsidRPr="00520074">
        <w:rPr>
          <w:rFonts w:ascii="Times New Roman" w:hAnsi="Times New Roman" w:cs="Times New Roman"/>
          <w:sz w:val="24"/>
          <w:szCs w:val="24"/>
        </w:rPr>
        <w:t xml:space="preserve"> autologous iliac crest graft or local bone graft, using plate system and patients underwent previous cervical disc surgery at another level, were all   excluded   from our study. </w:t>
      </w:r>
    </w:p>
    <w:p w14:paraId="6B607592" w14:textId="77777777" w:rsidR="00915B26" w:rsidRPr="00DB3305" w:rsidRDefault="00915B26" w:rsidP="00DB3305">
      <w:pPr>
        <w:autoSpaceDE w:val="0"/>
        <w:autoSpaceDN w:val="0"/>
        <w:adjustRightInd w:val="0"/>
        <w:spacing w:after="0" w:line="240" w:lineRule="auto"/>
        <w:jc w:val="both"/>
        <w:rPr>
          <w:rFonts w:ascii="Times New Roman" w:hAnsi="Times New Roman" w:cs="Times New Roman"/>
          <w:sz w:val="24"/>
          <w:szCs w:val="24"/>
        </w:rPr>
      </w:pPr>
      <w:r w:rsidRPr="00DB3305">
        <w:rPr>
          <w:rFonts w:ascii="Times New Roman" w:hAnsi="Times New Roman" w:cs="Times New Roman"/>
          <w:sz w:val="24"/>
          <w:szCs w:val="24"/>
        </w:rPr>
        <w:t xml:space="preserve">For clinical evaluation of our patients, we used the following 3 parameters; </w:t>
      </w:r>
    </w:p>
    <w:p w14:paraId="6E8B41A5" w14:textId="77777777" w:rsidR="00915B26" w:rsidRPr="00DB3305" w:rsidRDefault="00915B26" w:rsidP="00DB3305">
      <w:pPr>
        <w:autoSpaceDE w:val="0"/>
        <w:autoSpaceDN w:val="0"/>
        <w:adjustRightInd w:val="0"/>
        <w:spacing w:after="0" w:line="240" w:lineRule="auto"/>
        <w:jc w:val="both"/>
        <w:rPr>
          <w:rFonts w:ascii="Times New Roman" w:hAnsi="Times New Roman" w:cs="Times New Roman"/>
          <w:sz w:val="24"/>
          <w:szCs w:val="24"/>
        </w:rPr>
      </w:pPr>
      <w:r w:rsidRPr="00DB3305">
        <w:rPr>
          <w:rFonts w:ascii="Times New Roman" w:hAnsi="Times New Roman" w:cs="Times New Roman"/>
          <w:sz w:val="24"/>
          <w:szCs w:val="24"/>
        </w:rPr>
        <w:t xml:space="preserve">Firstly, we asked them to quantify their pain pre-op. and one-year post-op. on a Visual Analog Scale (VAS) for neck pain and arm pain ranging from 0 (no pain) to 10 (worst pain) and regarding arm pain we recorded VAS score for   every complaining arm. </w:t>
      </w:r>
    </w:p>
    <w:p w14:paraId="6F624E73" w14:textId="77777777" w:rsidR="00915B26" w:rsidRPr="00DB3305" w:rsidRDefault="00915B26" w:rsidP="00DB3305">
      <w:pPr>
        <w:autoSpaceDE w:val="0"/>
        <w:autoSpaceDN w:val="0"/>
        <w:adjustRightInd w:val="0"/>
        <w:spacing w:after="0" w:line="240" w:lineRule="auto"/>
        <w:jc w:val="both"/>
        <w:rPr>
          <w:rFonts w:ascii="Times New Roman" w:hAnsi="Times New Roman" w:cs="Times New Roman"/>
          <w:sz w:val="24"/>
          <w:szCs w:val="24"/>
        </w:rPr>
      </w:pPr>
      <w:r w:rsidRPr="00DB3305">
        <w:rPr>
          <w:rFonts w:ascii="Times New Roman" w:hAnsi="Times New Roman" w:cs="Times New Roman"/>
          <w:sz w:val="24"/>
          <w:szCs w:val="24"/>
        </w:rPr>
        <w:t>Secondly, the patients were evaluated at one-year post-op. according to Odom's criteria for their overall clinical outcome.[17] Excellent outcome was considered if there was no complaint referable to cervical disease and the patient was able to perform the daily occupation with no impairment. Good outcome, when there was intermittent discomfort referable to cervical disease but without significant interference with work. Fair outcome, when there was subjective improvement in symptoms with the physical activity significantly impaired and finally, poor outcome when there was worsening or no improvement of clinical status.</w:t>
      </w:r>
    </w:p>
    <w:p w14:paraId="29688731" w14:textId="77777777" w:rsidR="00915B26" w:rsidRPr="00B22CB9" w:rsidRDefault="00915B26" w:rsidP="00D20304">
      <w:pPr>
        <w:autoSpaceDE w:val="0"/>
        <w:autoSpaceDN w:val="0"/>
        <w:adjustRightInd w:val="0"/>
        <w:spacing w:after="0" w:line="240" w:lineRule="auto"/>
        <w:jc w:val="both"/>
        <w:rPr>
          <w:rFonts w:ascii="Times New Roman" w:hAnsi="Times New Roman" w:cs="Times New Roman"/>
          <w:sz w:val="24"/>
          <w:szCs w:val="24"/>
        </w:rPr>
      </w:pPr>
      <w:r w:rsidRPr="00D20304">
        <w:rPr>
          <w:rFonts w:ascii="Times New Roman" w:hAnsi="Times New Roman" w:cs="Times New Roman"/>
          <w:sz w:val="24"/>
          <w:szCs w:val="24"/>
        </w:rPr>
        <w:lastRenderedPageBreak/>
        <w:t>Thirdly, we used the Patient Satisfaction Index (PSI) as described by Palit et al. [18], to evaluate the patient’s satisfaction with their procedure at one-year post-op. We asked our patient if surgery met his expectations</w:t>
      </w:r>
      <w:r w:rsidRPr="00D20304">
        <w:rPr>
          <w:rFonts w:ascii="Times New Roman" w:eastAsia="Times New Roman" w:hAnsi="Times New Roman" w:cs="Times New Roman"/>
          <w:color w:val="231F20"/>
          <w:sz w:val="24"/>
          <w:szCs w:val="24"/>
        </w:rPr>
        <w:t xml:space="preserve"> (grade 1)</w:t>
      </w:r>
      <w:r w:rsidRPr="00D20304">
        <w:rPr>
          <w:rFonts w:ascii="Times New Roman" w:hAnsi="Times New Roman" w:cs="Times New Roman"/>
          <w:sz w:val="24"/>
          <w:szCs w:val="24"/>
        </w:rPr>
        <w:t xml:space="preserve">, if he would undergo the same operation for the same results although he did not improve as much as he hoped </w:t>
      </w:r>
      <w:r w:rsidRPr="00D20304">
        <w:rPr>
          <w:rFonts w:ascii="Times New Roman" w:eastAsia="Times New Roman" w:hAnsi="Times New Roman" w:cs="Times New Roman"/>
          <w:color w:val="231F20"/>
          <w:sz w:val="24"/>
          <w:szCs w:val="24"/>
        </w:rPr>
        <w:t>(grade 2)</w:t>
      </w:r>
      <w:r w:rsidRPr="00D20304">
        <w:rPr>
          <w:rFonts w:ascii="Times New Roman" w:hAnsi="Times New Roman" w:cs="Times New Roman"/>
          <w:sz w:val="24"/>
          <w:szCs w:val="24"/>
        </w:rPr>
        <w:t xml:space="preserve">, if surgery helped him but he would not undergo same surgery for same outcome </w:t>
      </w:r>
      <w:r w:rsidRPr="00D20304">
        <w:rPr>
          <w:rFonts w:ascii="Times New Roman" w:eastAsia="Times New Roman" w:hAnsi="Times New Roman" w:cs="Times New Roman"/>
          <w:color w:val="231F20"/>
          <w:sz w:val="24"/>
          <w:szCs w:val="24"/>
        </w:rPr>
        <w:t>(grade 3)</w:t>
      </w:r>
      <w:r w:rsidRPr="00D20304">
        <w:rPr>
          <w:rFonts w:ascii="Times New Roman" w:hAnsi="Times New Roman" w:cs="Times New Roman"/>
          <w:sz w:val="24"/>
          <w:szCs w:val="24"/>
        </w:rPr>
        <w:t xml:space="preserve">, or if he is the same or worse as compared to before surgery </w:t>
      </w:r>
      <w:r w:rsidRPr="00D20304">
        <w:rPr>
          <w:rFonts w:ascii="Times New Roman" w:eastAsia="Times New Roman" w:hAnsi="Times New Roman" w:cs="Times New Roman"/>
          <w:color w:val="231F20"/>
          <w:sz w:val="24"/>
          <w:szCs w:val="24"/>
        </w:rPr>
        <w:t>(grade 4)</w:t>
      </w:r>
      <w:r w:rsidRPr="00D20304">
        <w:rPr>
          <w:rFonts w:ascii="Times New Roman" w:hAnsi="Times New Roman" w:cs="Times New Roman"/>
          <w:sz w:val="24"/>
          <w:szCs w:val="24"/>
        </w:rPr>
        <w:t>.</w:t>
      </w:r>
    </w:p>
    <w:p w14:paraId="2A172E8E" w14:textId="77777777" w:rsidR="00915B26" w:rsidRPr="00520074" w:rsidRDefault="00915B26" w:rsidP="00D20304">
      <w:pPr>
        <w:autoSpaceDE w:val="0"/>
        <w:autoSpaceDN w:val="0"/>
        <w:adjustRightInd w:val="0"/>
        <w:spacing w:after="0" w:line="240" w:lineRule="auto"/>
        <w:jc w:val="both"/>
        <w:rPr>
          <w:rFonts w:ascii="Times New Roman" w:eastAsia="Times New Roman" w:hAnsi="Times New Roman" w:cs="Times New Roman"/>
          <w:sz w:val="24"/>
          <w:szCs w:val="24"/>
        </w:rPr>
      </w:pPr>
      <w:r w:rsidRPr="00520074">
        <w:rPr>
          <w:rFonts w:ascii="Times New Roman" w:eastAsia="Times New Roman" w:hAnsi="Times New Roman" w:cs="Times New Roman"/>
          <w:sz w:val="24"/>
          <w:szCs w:val="24"/>
        </w:rPr>
        <w:t>For evaluation of bone fusion, we had pre-op. plain X-ray of cervical spine (A-P and lateral) and post-op. follow up   plain X-ray (A-P and lateral) before the patients were discharged, then at 3 months, 6 months and 12 months post-op. on their routine follow up.</w:t>
      </w:r>
    </w:p>
    <w:p w14:paraId="5661C990" w14:textId="77777777" w:rsidR="00915B26" w:rsidRPr="00520074" w:rsidRDefault="00915B26" w:rsidP="00D20304">
      <w:pPr>
        <w:autoSpaceDE w:val="0"/>
        <w:autoSpaceDN w:val="0"/>
        <w:adjustRightInd w:val="0"/>
        <w:spacing w:after="0" w:line="240" w:lineRule="auto"/>
        <w:jc w:val="both"/>
        <w:rPr>
          <w:rFonts w:ascii="Times New Roman" w:eastAsia="Times New Roman" w:hAnsi="Times New Roman" w:cs="Times New Roman"/>
          <w:sz w:val="24"/>
          <w:szCs w:val="24"/>
        </w:rPr>
      </w:pPr>
      <w:r w:rsidRPr="00520074">
        <w:rPr>
          <w:rFonts w:ascii="Times New Roman" w:eastAsia="Times New Roman" w:hAnsi="Times New Roman" w:cs="Times New Roman"/>
          <w:sz w:val="24"/>
          <w:szCs w:val="24"/>
        </w:rPr>
        <w:t xml:space="preserve">Bone fusion considered successful if bridging bone incorporating the graft and adjoining vertebral endplates was apparent, with loss of radiolucency at the bone‐graft interface in </w:t>
      </w:r>
      <w:r w:rsidRPr="00520074">
        <w:rPr>
          <w:rFonts w:ascii="Times New Roman" w:eastAsia="Times New Roman" w:hAnsi="Times New Roman" w:cs="Times New Roman"/>
          <w:color w:val="000000"/>
          <w:sz w:val="24"/>
          <w:szCs w:val="24"/>
        </w:rPr>
        <w:t>lateral plain Xray of cervical spine obtained one year after surgery.</w:t>
      </w:r>
      <w:r>
        <w:rPr>
          <w:rFonts w:ascii="Times New Roman" w:hAnsi="Times New Roman" w:cs="Times New Roman"/>
          <w:sz w:val="24"/>
          <w:szCs w:val="24"/>
        </w:rPr>
        <w:t>[19]</w:t>
      </w:r>
      <w:r w:rsidRPr="00520074">
        <w:rPr>
          <w:rFonts w:ascii="Times New Roman" w:eastAsia="Times New Roman" w:hAnsi="Times New Roman" w:cs="Times New Roman"/>
          <w:sz w:val="24"/>
          <w:szCs w:val="24"/>
        </w:rPr>
        <w:t xml:space="preserve"> This assessment was done and approved by the 3 participating authors for all included patients.  CT scan was planned only if there was potential for nonunion, in cases of unexpected/poor clinical outcomes and/ or recurrence of symptoms during follow up to verify fusion at the operated level, Bartels et al 2010.</w:t>
      </w:r>
      <w:r>
        <w:rPr>
          <w:rFonts w:ascii="Times New Roman" w:hAnsi="Times New Roman" w:cs="Times New Roman"/>
          <w:sz w:val="24"/>
          <w:szCs w:val="24"/>
        </w:rPr>
        <w:t>[20]</w:t>
      </w:r>
      <w:r w:rsidRPr="00520074">
        <w:rPr>
          <w:rFonts w:ascii="Times New Roman" w:eastAsia="Times New Roman" w:hAnsi="Times New Roman" w:cs="Times New Roman"/>
          <w:sz w:val="24"/>
          <w:szCs w:val="24"/>
        </w:rPr>
        <w:t xml:space="preserve"> </w:t>
      </w:r>
    </w:p>
    <w:p w14:paraId="007E7A33" w14:textId="77777777" w:rsidR="00915B26" w:rsidRPr="00520074" w:rsidRDefault="00915B26" w:rsidP="00D20304">
      <w:pPr>
        <w:autoSpaceDE w:val="0"/>
        <w:autoSpaceDN w:val="0"/>
        <w:adjustRightInd w:val="0"/>
        <w:spacing w:after="0" w:line="240" w:lineRule="auto"/>
        <w:jc w:val="both"/>
        <w:rPr>
          <w:rFonts w:ascii="Times New Roman" w:eastAsia="Times New Roman" w:hAnsi="Times New Roman" w:cs="Times New Roman"/>
          <w:color w:val="FF0000"/>
          <w:sz w:val="24"/>
          <w:szCs w:val="24"/>
          <w:u w:val="single"/>
        </w:rPr>
      </w:pPr>
      <w:r w:rsidRPr="00520074">
        <w:rPr>
          <w:rFonts w:ascii="Times New Roman" w:eastAsia="Times New Roman" w:hAnsi="Times New Roman" w:cs="Times New Roman"/>
          <w:b/>
          <w:bCs/>
          <w:color w:val="000000"/>
          <w:sz w:val="24"/>
          <w:szCs w:val="24"/>
          <w:u w:val="single"/>
        </w:rPr>
        <w:t>Surgical procedure:</w:t>
      </w:r>
    </w:p>
    <w:p w14:paraId="0F22A4B0" w14:textId="77777777" w:rsidR="00915B26" w:rsidRPr="00520074" w:rsidRDefault="00915B26" w:rsidP="00D20304">
      <w:pPr>
        <w:shd w:val="clear" w:color="auto" w:fill="FFFFFF"/>
        <w:spacing w:after="0" w:line="240" w:lineRule="auto"/>
        <w:jc w:val="both"/>
        <w:rPr>
          <w:rFonts w:ascii="Times New Roman" w:hAnsi="Times New Roman" w:cs="Times New Roman"/>
          <w:sz w:val="24"/>
          <w:szCs w:val="24"/>
        </w:rPr>
      </w:pPr>
      <w:r w:rsidRPr="00520074">
        <w:rPr>
          <w:rFonts w:ascii="Times New Roman" w:hAnsi="Times New Roman" w:cs="Times New Roman"/>
          <w:sz w:val="24"/>
          <w:szCs w:val="24"/>
        </w:rPr>
        <w:t xml:space="preserve">During surgery discectomy was performed under the operating microscope using a scalpel, rongeurs, and curettes and removal of posterior osteophytes were performed thereafter. We carefully opened and resected the posterior longitudinal ligament to enable good visualization of the dura and the nerve root origins. To optimize the vertebral bone‐graft interface, decortication of the vertebral endplates was performed. Optimal size of PEEK cage was selected with help of a trial cage inserted to confirm the height of the disc space. Inner cavity of PEEK cage was filled with BCP then was inserted using forceps and tapped into place. Lateral fluoroscopy was performed before closure for optimal PEEK cage position, then good hemostasis, closure in layers over a drain to be removed 24 hours after surgery, Patients were allowed to stand the day after surgery and a hard neck collar worn for 6 weeks postop. The patients were allowed to take off neck collar at bed time. Patients were discharged from hospital within 2-3 days after surgery after initial clinical evaluation and only after doing follow up X-ray A-P and lateral views, normal activity was progressively resumed as tolerated. </w:t>
      </w:r>
    </w:p>
    <w:p w14:paraId="3F14A338" w14:textId="77777777" w:rsidR="00915B26" w:rsidRPr="00B263B7" w:rsidRDefault="00915B26" w:rsidP="00D20304">
      <w:pPr>
        <w:spacing w:after="0" w:line="240" w:lineRule="auto"/>
        <w:rPr>
          <w:rFonts w:ascii="Times New Roman" w:eastAsia="Times New Roman" w:hAnsi="Times New Roman" w:cs="Times New Roman"/>
          <w:b/>
          <w:bCs/>
          <w:color w:val="000000"/>
          <w:sz w:val="24"/>
          <w:szCs w:val="24"/>
          <w:u w:val="single"/>
        </w:rPr>
      </w:pPr>
      <w:bookmarkStart w:id="5" w:name="_Hlk53834733"/>
      <w:r w:rsidRPr="00B263B7">
        <w:rPr>
          <w:rFonts w:ascii="Times New Roman" w:eastAsia="Times New Roman" w:hAnsi="Times New Roman" w:cs="Times New Roman"/>
          <w:b/>
          <w:bCs/>
          <w:color w:val="000000"/>
          <w:sz w:val="24"/>
          <w:szCs w:val="24"/>
          <w:u w:val="single"/>
        </w:rPr>
        <w:t>Informed consent and ethics committee approval:</w:t>
      </w:r>
    </w:p>
    <w:p w14:paraId="15C671ED" w14:textId="77777777" w:rsidR="00915B26" w:rsidRPr="00520074" w:rsidRDefault="00915B26" w:rsidP="00D20304">
      <w:pPr>
        <w:spacing w:after="0" w:line="240" w:lineRule="auto"/>
        <w:jc w:val="both"/>
        <w:rPr>
          <w:rFonts w:ascii="Times New Roman" w:eastAsia="Times New Roman" w:hAnsi="Times New Roman" w:cs="Times New Roman"/>
          <w:color w:val="231F20"/>
          <w:sz w:val="24"/>
          <w:szCs w:val="24"/>
        </w:rPr>
      </w:pPr>
      <w:r w:rsidRPr="00520074">
        <w:rPr>
          <w:rFonts w:ascii="Times New Roman" w:eastAsia="Times New Roman" w:hAnsi="Times New Roman" w:cs="Times New Roman"/>
          <w:color w:val="231F20"/>
          <w:sz w:val="24"/>
          <w:szCs w:val="24"/>
        </w:rPr>
        <w:t>This research has given approval by Research Ethics Committee (REC) of Benha faculty of medicine, Benha University.</w:t>
      </w:r>
      <w:r w:rsidRPr="002B650E">
        <w:rPr>
          <w:rFonts w:ascii="Times New Roman" w:eastAsia="Times New Roman" w:hAnsi="Times New Roman" w:cs="Times New Roman"/>
          <w:color w:val="231F20"/>
          <w:sz w:val="24"/>
          <w:szCs w:val="24"/>
        </w:rPr>
        <w:t xml:space="preserve"> </w:t>
      </w:r>
      <w:r w:rsidRPr="00520074">
        <w:rPr>
          <w:rFonts w:ascii="Times New Roman" w:eastAsia="Times New Roman" w:hAnsi="Times New Roman" w:cs="Times New Roman"/>
          <w:color w:val="231F20"/>
          <w:sz w:val="24"/>
          <w:szCs w:val="24"/>
        </w:rPr>
        <w:t>A written informed consent was obtained from each patient after explaining all steps of this study.</w:t>
      </w:r>
      <w:r>
        <w:rPr>
          <w:rFonts w:ascii="Times New Roman" w:eastAsia="Times New Roman" w:hAnsi="Times New Roman" w:cs="Times New Roman"/>
          <w:color w:val="231F20"/>
          <w:sz w:val="24"/>
          <w:szCs w:val="24"/>
        </w:rPr>
        <w:t xml:space="preserve"> </w:t>
      </w:r>
      <w:r w:rsidRPr="00520074">
        <w:rPr>
          <w:rFonts w:ascii="Times New Roman" w:eastAsia="Times New Roman" w:hAnsi="Times New Roman" w:cs="Times New Roman"/>
          <w:color w:val="231F20"/>
          <w:sz w:val="24"/>
          <w:szCs w:val="24"/>
        </w:rPr>
        <w:t xml:space="preserve">All procedures performed involving human participants were in accordance with the ethical standards of the institutional and/or national research committee and with the 1964 Helsinki declaration and its later amendments or comparable ethical standards. </w:t>
      </w:r>
    </w:p>
    <w:bookmarkEnd w:id="5"/>
    <w:p w14:paraId="790D5355" w14:textId="0880C655" w:rsidR="00915B26" w:rsidRDefault="00915B26" w:rsidP="00D20304">
      <w:pPr>
        <w:spacing w:after="0" w:line="240" w:lineRule="auto"/>
        <w:jc w:val="both"/>
        <w:rPr>
          <w:rFonts w:ascii="Times New Roman" w:hAnsi="Times New Roman" w:cs="Times New Roman"/>
          <w:sz w:val="24"/>
          <w:szCs w:val="24"/>
        </w:rPr>
      </w:pPr>
      <w:r w:rsidRPr="00520074">
        <w:rPr>
          <w:rFonts w:ascii="Times New Roman" w:eastAsia="Times New Roman" w:hAnsi="Times New Roman" w:cs="Times New Roman"/>
          <w:b/>
          <w:bCs/>
          <w:color w:val="000000"/>
          <w:sz w:val="24"/>
          <w:szCs w:val="24"/>
          <w:u w:val="single"/>
        </w:rPr>
        <w:t>Statistical analysis</w:t>
      </w:r>
      <w:r w:rsidRPr="00520074">
        <w:rPr>
          <w:rFonts w:ascii="Times New Roman" w:eastAsia="Times New Roman" w:hAnsi="Times New Roman" w:cs="Times New Roman"/>
          <w:b/>
          <w:bCs/>
          <w:color w:val="000000"/>
          <w:sz w:val="24"/>
          <w:szCs w:val="24"/>
          <w:u w:val="single"/>
          <w:rtl/>
          <w:lang w:bidi="ar-EG"/>
        </w:rPr>
        <w:t>:</w:t>
      </w:r>
      <w:r w:rsidRPr="00520074">
        <w:rPr>
          <w:rFonts w:ascii="Times New Roman" w:eastAsia="Times New Roman" w:hAnsi="Times New Roman" w:cs="Times New Roman"/>
          <w:b/>
          <w:bCs/>
          <w:color w:val="000000"/>
          <w:sz w:val="24"/>
          <w:szCs w:val="24"/>
          <w:rtl/>
          <w:lang w:bidi="ar-EG"/>
        </w:rPr>
        <w:t xml:space="preserve"> </w:t>
      </w:r>
      <w:r w:rsidRPr="00520074">
        <w:rPr>
          <w:rFonts w:ascii="Times New Roman" w:hAnsi="Times New Roman" w:cs="Times New Roman"/>
          <w:sz w:val="24"/>
          <w:szCs w:val="24"/>
        </w:rPr>
        <w:t xml:space="preserve"> The collected data were described in terms of mean ± Standard Deviation (SD) and range for</w:t>
      </w:r>
      <w:r w:rsidRPr="00520074">
        <w:rPr>
          <w:rFonts w:ascii="Times New Roman" w:eastAsia="Times New Roman" w:hAnsi="Times New Roman" w:cs="Times New Roman"/>
          <w:b/>
          <w:bCs/>
          <w:color w:val="000000"/>
          <w:sz w:val="24"/>
          <w:szCs w:val="24"/>
        </w:rPr>
        <w:t xml:space="preserve"> </w:t>
      </w:r>
      <w:r w:rsidRPr="00520074">
        <w:rPr>
          <w:rFonts w:ascii="Times New Roman" w:hAnsi="Times New Roman" w:cs="Times New Roman"/>
          <w:sz w:val="24"/>
          <w:szCs w:val="24"/>
        </w:rPr>
        <w:t>quantitative data, while for qualitative data described as frequency and percentage. Pre-operative VAS scores for neck pain and arm pain were compared against one-year post-operative scores using paired t-test. Improvement rates were calculated as percentage of VAS scores changes in relation to pre-operative scores. Statistical significance accepted at P</w:t>
      </w:r>
      <w:r w:rsidRPr="00520074">
        <w:rPr>
          <w:rFonts w:ascii="Times New Roman" w:hAnsi="Times New Roman" w:cs="Times New Roman"/>
          <w:sz w:val="24"/>
          <w:szCs w:val="24"/>
          <w:rtl/>
        </w:rPr>
        <w:t xml:space="preserve"> 0.05 &gt;</w:t>
      </w:r>
      <w:r w:rsidRPr="00520074">
        <w:rPr>
          <w:rFonts w:ascii="Times New Roman" w:hAnsi="Times New Roman" w:cs="Times New Roman"/>
          <w:sz w:val="24"/>
          <w:szCs w:val="24"/>
        </w:rPr>
        <w:t>.  Statistical analyses carried out using STATA/SE version 11.2 for Windows (STATA corporation, College Station, Texas).</w:t>
      </w:r>
    </w:p>
    <w:p w14:paraId="061C4CE3" w14:textId="77777777" w:rsidR="00DE13BF" w:rsidRPr="00DE13BF" w:rsidRDefault="00DE13BF" w:rsidP="00C30649">
      <w:pPr>
        <w:spacing w:after="0" w:line="240" w:lineRule="auto"/>
        <w:jc w:val="both"/>
        <w:rPr>
          <w:rFonts w:ascii="Times New Roman" w:hAnsi="Times New Roman" w:cs="Times New Roman"/>
          <w:sz w:val="24"/>
          <w:szCs w:val="24"/>
          <w:u w:val="single"/>
        </w:rPr>
      </w:pPr>
      <w:r w:rsidRPr="00DE13BF">
        <w:rPr>
          <w:rFonts w:ascii="Times New Roman" w:eastAsia="Times New Roman" w:hAnsi="Times New Roman" w:cs="Times New Roman"/>
          <w:b/>
          <w:bCs/>
          <w:color w:val="231F20"/>
          <w:sz w:val="24"/>
          <w:szCs w:val="24"/>
          <w:u w:val="single"/>
        </w:rPr>
        <w:t>Results</w:t>
      </w:r>
    </w:p>
    <w:p w14:paraId="48A8FA67" w14:textId="6CA41EEC" w:rsidR="00CA021A" w:rsidRPr="00196054" w:rsidRDefault="00DE13BF" w:rsidP="00C30649">
      <w:pPr>
        <w:autoSpaceDE w:val="0"/>
        <w:autoSpaceDN w:val="0"/>
        <w:bidi/>
        <w:adjustRightInd w:val="0"/>
        <w:spacing w:after="200" w:line="240" w:lineRule="auto"/>
        <w:jc w:val="both"/>
        <w:rPr>
          <w:rFonts w:ascii="Times New Roman" w:eastAsia="Times New Roman" w:hAnsi="Times New Roman" w:cs="Times New Roman"/>
          <w:sz w:val="24"/>
          <w:szCs w:val="24"/>
        </w:rPr>
      </w:pPr>
      <w:r w:rsidRPr="00DE13BF">
        <w:rPr>
          <w:rFonts w:ascii="Times New Roman" w:eastAsia="Times New Roman" w:hAnsi="Times New Roman" w:cs="Times New Roman"/>
          <w:color w:val="231F20"/>
          <w:sz w:val="24"/>
          <w:szCs w:val="24"/>
        </w:rPr>
        <w:t xml:space="preserve">From April 2017 to April 2019, 22 patients were operated upon according to the inclusion criteria of this study, 3 patients of them were lost to follow up so only data and results of the remaining 19 cases were analyzed. Table 1 shows the demographic and baseline clinical characteristics of the </w:t>
      </w:r>
      <w:r w:rsidRPr="00DE13BF">
        <w:rPr>
          <w:rFonts w:ascii="Times New Roman" w:eastAsia="Times New Roman" w:hAnsi="Times New Roman" w:cs="Times New Roman"/>
          <w:color w:val="231F20"/>
          <w:sz w:val="24"/>
          <w:szCs w:val="24"/>
        </w:rPr>
        <w:lastRenderedPageBreak/>
        <w:t>studied patients. 10 patients were operated at C5-6 level which was the most frequent level operated upon</w:t>
      </w:r>
      <w:r w:rsidRPr="00DE13BF">
        <w:rPr>
          <w:rFonts w:ascii="Times New Roman" w:eastAsia="Times New Roman" w:hAnsi="Times New Roman" w:cs="Times New Roman"/>
          <w:sz w:val="24"/>
          <w:szCs w:val="24"/>
        </w:rPr>
        <w:t xml:space="preserve"> and all 19 cases were intact regarding sphincteric function</w:t>
      </w:r>
      <w:r w:rsidRPr="00DE13BF">
        <w:rPr>
          <w:rFonts w:ascii="Times New Roman" w:eastAsia="Times New Roman" w:hAnsi="Times New Roman" w:cs="Times New Roman"/>
          <w:color w:val="231F20"/>
          <w:sz w:val="24"/>
          <w:szCs w:val="24"/>
        </w:rPr>
        <w:t xml:space="preserve">, as for associated comorbidities, we had 3 patients with DM, 2 patients are hypertensive, one patient known to be hypertensive and diabetic and 3 other patients are smokers                                                                         </w:t>
      </w:r>
    </w:p>
    <w:p w14:paraId="79C7342E" w14:textId="671A120D" w:rsidR="001061EB" w:rsidRPr="00D20304" w:rsidRDefault="001061EB" w:rsidP="001061EB">
      <w:pPr>
        <w:spacing w:line="276" w:lineRule="auto"/>
        <w:rPr>
          <w:rFonts w:asciiTheme="majorBidi" w:hAnsiTheme="majorBidi" w:cstheme="majorBidi"/>
          <w:b/>
          <w:bCs/>
          <w:sz w:val="20"/>
          <w:szCs w:val="20"/>
        </w:rPr>
      </w:pPr>
      <w:bookmarkStart w:id="6" w:name="_Hlk41597192"/>
      <w:r w:rsidRPr="00D20304">
        <w:rPr>
          <w:rFonts w:asciiTheme="majorBidi" w:hAnsiTheme="majorBidi" w:cstheme="majorBidi"/>
          <w:b/>
          <w:bCs/>
          <w:sz w:val="20"/>
          <w:szCs w:val="20"/>
        </w:rPr>
        <w:t>Table 1</w:t>
      </w:r>
      <w:r w:rsidR="004E7D72" w:rsidRPr="00D20304">
        <w:rPr>
          <w:rFonts w:asciiTheme="majorBidi" w:hAnsiTheme="majorBidi" w:cstheme="majorBidi"/>
          <w:b/>
          <w:bCs/>
          <w:sz w:val="20"/>
          <w:szCs w:val="20"/>
        </w:rPr>
        <w:t>:</w:t>
      </w:r>
      <w:r w:rsidR="001F41DE" w:rsidRPr="00D20304">
        <w:rPr>
          <w:rFonts w:asciiTheme="majorBidi" w:hAnsiTheme="majorBidi" w:cstheme="majorBidi"/>
          <w:b/>
          <w:bCs/>
          <w:sz w:val="20"/>
          <w:szCs w:val="20"/>
        </w:rPr>
        <w:t xml:space="preserve"> The study </w:t>
      </w:r>
      <w:r w:rsidR="006D4A5A" w:rsidRPr="00D20304">
        <w:rPr>
          <w:rFonts w:asciiTheme="majorBidi" w:hAnsiTheme="majorBidi" w:cstheme="majorBidi"/>
          <w:b/>
          <w:bCs/>
          <w:sz w:val="20"/>
          <w:szCs w:val="20"/>
        </w:rPr>
        <w:t>population, demographic</w:t>
      </w:r>
      <w:r w:rsidRPr="00D20304">
        <w:rPr>
          <w:rFonts w:asciiTheme="majorBidi" w:hAnsiTheme="majorBidi" w:cstheme="majorBidi"/>
          <w:b/>
          <w:bCs/>
          <w:sz w:val="20"/>
          <w:szCs w:val="20"/>
        </w:rPr>
        <w:t xml:space="preserve"> and clinical characteristics  </w:t>
      </w:r>
    </w:p>
    <w:tbl>
      <w:tblPr>
        <w:tblStyle w:val="TableGrid"/>
        <w:tblW w:w="0" w:type="auto"/>
        <w:tblLook w:val="04A0" w:firstRow="1" w:lastRow="0" w:firstColumn="1" w:lastColumn="0" w:noHBand="0" w:noVBand="1"/>
      </w:tblPr>
      <w:tblGrid>
        <w:gridCol w:w="2254"/>
        <w:gridCol w:w="2254"/>
        <w:gridCol w:w="2254"/>
        <w:gridCol w:w="2254"/>
      </w:tblGrid>
      <w:tr w:rsidR="001061EB" w:rsidRPr="00D20304" w14:paraId="5C6C1F97" w14:textId="77777777" w:rsidTr="00355BCC">
        <w:tc>
          <w:tcPr>
            <w:tcW w:w="4508" w:type="dxa"/>
            <w:gridSpan w:val="2"/>
            <w:shd w:val="clear" w:color="auto" w:fill="BFBFBF" w:themeFill="background1" w:themeFillShade="BF"/>
            <w:vAlign w:val="center"/>
          </w:tcPr>
          <w:p w14:paraId="6A29BC2C" w14:textId="77777777"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Total number=19</w:t>
            </w:r>
          </w:p>
        </w:tc>
        <w:tc>
          <w:tcPr>
            <w:tcW w:w="2254" w:type="dxa"/>
            <w:shd w:val="clear" w:color="auto" w:fill="BFBFBF" w:themeFill="background1" w:themeFillShade="BF"/>
            <w:vAlign w:val="center"/>
          </w:tcPr>
          <w:p w14:paraId="5E24E0BD" w14:textId="2CF5A9DC"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No</w:t>
            </w:r>
            <w:r w:rsidR="00734E87" w:rsidRPr="00D20304">
              <w:rPr>
                <w:rFonts w:asciiTheme="majorBidi" w:hAnsiTheme="majorBidi" w:cstheme="majorBidi"/>
                <w:b/>
                <w:bCs/>
                <w:sz w:val="20"/>
                <w:szCs w:val="20"/>
                <w:lang w:val="en-US"/>
              </w:rPr>
              <w:t>.</w:t>
            </w:r>
          </w:p>
        </w:tc>
        <w:tc>
          <w:tcPr>
            <w:tcW w:w="2254" w:type="dxa"/>
            <w:shd w:val="clear" w:color="auto" w:fill="BFBFBF" w:themeFill="background1" w:themeFillShade="BF"/>
            <w:vAlign w:val="center"/>
          </w:tcPr>
          <w:p w14:paraId="47CE9D0F" w14:textId="77777777"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w:t>
            </w:r>
          </w:p>
        </w:tc>
      </w:tr>
      <w:tr w:rsidR="001061EB" w:rsidRPr="00D20304" w14:paraId="4090A2E2" w14:textId="77777777" w:rsidTr="00355BCC">
        <w:tc>
          <w:tcPr>
            <w:tcW w:w="2254" w:type="dxa"/>
            <w:vMerge w:val="restart"/>
            <w:vAlign w:val="center"/>
          </w:tcPr>
          <w:p w14:paraId="3B04C736" w14:textId="77777777"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Gender</w:t>
            </w:r>
          </w:p>
        </w:tc>
        <w:tc>
          <w:tcPr>
            <w:tcW w:w="2254" w:type="dxa"/>
            <w:vAlign w:val="center"/>
          </w:tcPr>
          <w:p w14:paraId="415B36E9" w14:textId="77777777"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Female</w:t>
            </w:r>
          </w:p>
        </w:tc>
        <w:tc>
          <w:tcPr>
            <w:tcW w:w="2254" w:type="dxa"/>
            <w:vAlign w:val="center"/>
          </w:tcPr>
          <w:p w14:paraId="63566FBE" w14:textId="77777777"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14</w:t>
            </w:r>
          </w:p>
        </w:tc>
        <w:tc>
          <w:tcPr>
            <w:tcW w:w="2254" w:type="dxa"/>
            <w:vAlign w:val="center"/>
          </w:tcPr>
          <w:p w14:paraId="0609C9D5" w14:textId="77777777"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73.68</w:t>
            </w:r>
          </w:p>
        </w:tc>
      </w:tr>
      <w:tr w:rsidR="001061EB" w:rsidRPr="00D20304" w14:paraId="284114F8" w14:textId="77777777" w:rsidTr="00355BCC">
        <w:tc>
          <w:tcPr>
            <w:tcW w:w="2254" w:type="dxa"/>
            <w:vMerge/>
            <w:vAlign w:val="center"/>
          </w:tcPr>
          <w:p w14:paraId="07C57BEA" w14:textId="77777777" w:rsidR="001061EB" w:rsidRPr="00D20304" w:rsidRDefault="001061EB" w:rsidP="00355BCC">
            <w:pPr>
              <w:spacing w:line="276" w:lineRule="auto"/>
              <w:jc w:val="center"/>
              <w:rPr>
                <w:rFonts w:asciiTheme="majorBidi" w:hAnsiTheme="majorBidi" w:cstheme="majorBidi"/>
                <w:b/>
                <w:bCs/>
                <w:sz w:val="20"/>
                <w:szCs w:val="20"/>
                <w:lang w:val="en-US"/>
              </w:rPr>
            </w:pPr>
          </w:p>
        </w:tc>
        <w:tc>
          <w:tcPr>
            <w:tcW w:w="2254" w:type="dxa"/>
            <w:vAlign w:val="center"/>
          </w:tcPr>
          <w:p w14:paraId="3E2F823F" w14:textId="77777777"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Male</w:t>
            </w:r>
          </w:p>
        </w:tc>
        <w:tc>
          <w:tcPr>
            <w:tcW w:w="2254" w:type="dxa"/>
            <w:vAlign w:val="center"/>
          </w:tcPr>
          <w:p w14:paraId="3FA4743E" w14:textId="77777777"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5</w:t>
            </w:r>
          </w:p>
        </w:tc>
        <w:tc>
          <w:tcPr>
            <w:tcW w:w="2254" w:type="dxa"/>
            <w:vAlign w:val="center"/>
          </w:tcPr>
          <w:p w14:paraId="230C41B2" w14:textId="77777777"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26.32</w:t>
            </w:r>
          </w:p>
        </w:tc>
      </w:tr>
      <w:tr w:rsidR="001061EB" w:rsidRPr="00D20304" w14:paraId="7587FC93" w14:textId="77777777" w:rsidTr="00355BCC">
        <w:tc>
          <w:tcPr>
            <w:tcW w:w="2254" w:type="dxa"/>
            <w:vAlign w:val="center"/>
          </w:tcPr>
          <w:p w14:paraId="63CE369F" w14:textId="77777777"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Age (years)</w:t>
            </w:r>
          </w:p>
        </w:tc>
        <w:tc>
          <w:tcPr>
            <w:tcW w:w="2254" w:type="dxa"/>
            <w:vAlign w:val="center"/>
          </w:tcPr>
          <w:p w14:paraId="79126B5E" w14:textId="77777777"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Mean ±SD; (range)</w:t>
            </w:r>
          </w:p>
        </w:tc>
        <w:tc>
          <w:tcPr>
            <w:tcW w:w="4508" w:type="dxa"/>
            <w:gridSpan w:val="2"/>
            <w:vAlign w:val="center"/>
          </w:tcPr>
          <w:p w14:paraId="52ADEDC8" w14:textId="77777777"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45.21±8.22; (34-61)</w:t>
            </w:r>
          </w:p>
        </w:tc>
      </w:tr>
      <w:tr w:rsidR="001061EB" w:rsidRPr="00D20304" w14:paraId="3C66DE8B" w14:textId="77777777" w:rsidTr="00355BCC">
        <w:tc>
          <w:tcPr>
            <w:tcW w:w="2254" w:type="dxa"/>
            <w:vMerge w:val="restart"/>
            <w:vAlign w:val="center"/>
          </w:tcPr>
          <w:p w14:paraId="7CF19B52" w14:textId="77777777"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Operated level</w:t>
            </w:r>
          </w:p>
        </w:tc>
        <w:tc>
          <w:tcPr>
            <w:tcW w:w="2254" w:type="dxa"/>
            <w:vAlign w:val="center"/>
          </w:tcPr>
          <w:p w14:paraId="5BE085CF" w14:textId="77777777"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C3-4</w:t>
            </w:r>
          </w:p>
        </w:tc>
        <w:tc>
          <w:tcPr>
            <w:tcW w:w="2254" w:type="dxa"/>
            <w:vAlign w:val="center"/>
          </w:tcPr>
          <w:p w14:paraId="4F7A3B21" w14:textId="77777777"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2</w:t>
            </w:r>
          </w:p>
        </w:tc>
        <w:tc>
          <w:tcPr>
            <w:tcW w:w="2254" w:type="dxa"/>
            <w:vAlign w:val="center"/>
          </w:tcPr>
          <w:p w14:paraId="1F3B2E2B" w14:textId="77777777"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10.53</w:t>
            </w:r>
          </w:p>
        </w:tc>
      </w:tr>
      <w:tr w:rsidR="001061EB" w:rsidRPr="00D20304" w14:paraId="17DEEC97" w14:textId="77777777" w:rsidTr="00355BCC">
        <w:tc>
          <w:tcPr>
            <w:tcW w:w="2254" w:type="dxa"/>
            <w:vMerge/>
            <w:vAlign w:val="center"/>
          </w:tcPr>
          <w:p w14:paraId="517459CE" w14:textId="77777777" w:rsidR="001061EB" w:rsidRPr="00D20304" w:rsidRDefault="001061EB" w:rsidP="00355BCC">
            <w:pPr>
              <w:spacing w:line="276" w:lineRule="auto"/>
              <w:jc w:val="center"/>
              <w:rPr>
                <w:rFonts w:asciiTheme="majorBidi" w:hAnsiTheme="majorBidi" w:cstheme="majorBidi"/>
                <w:b/>
                <w:bCs/>
                <w:sz w:val="20"/>
                <w:szCs w:val="20"/>
                <w:lang w:val="en-US"/>
              </w:rPr>
            </w:pPr>
          </w:p>
        </w:tc>
        <w:tc>
          <w:tcPr>
            <w:tcW w:w="2254" w:type="dxa"/>
            <w:vAlign w:val="center"/>
          </w:tcPr>
          <w:p w14:paraId="77A60F78" w14:textId="77777777"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C4-5</w:t>
            </w:r>
          </w:p>
        </w:tc>
        <w:tc>
          <w:tcPr>
            <w:tcW w:w="2254" w:type="dxa"/>
            <w:vAlign w:val="center"/>
          </w:tcPr>
          <w:p w14:paraId="38AC746B" w14:textId="77777777"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4</w:t>
            </w:r>
          </w:p>
        </w:tc>
        <w:tc>
          <w:tcPr>
            <w:tcW w:w="2254" w:type="dxa"/>
            <w:vAlign w:val="center"/>
          </w:tcPr>
          <w:p w14:paraId="4AFAF03B" w14:textId="77777777"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21.05</w:t>
            </w:r>
          </w:p>
        </w:tc>
      </w:tr>
      <w:tr w:rsidR="001061EB" w:rsidRPr="00D20304" w14:paraId="3C0761AF" w14:textId="77777777" w:rsidTr="00355BCC">
        <w:tc>
          <w:tcPr>
            <w:tcW w:w="2254" w:type="dxa"/>
            <w:vMerge/>
            <w:vAlign w:val="center"/>
          </w:tcPr>
          <w:p w14:paraId="5E271892" w14:textId="77777777" w:rsidR="001061EB" w:rsidRPr="00D20304" w:rsidRDefault="001061EB" w:rsidP="00355BCC">
            <w:pPr>
              <w:spacing w:line="276" w:lineRule="auto"/>
              <w:jc w:val="center"/>
              <w:rPr>
                <w:rFonts w:asciiTheme="majorBidi" w:hAnsiTheme="majorBidi" w:cstheme="majorBidi"/>
                <w:b/>
                <w:bCs/>
                <w:sz w:val="20"/>
                <w:szCs w:val="20"/>
                <w:lang w:val="en-US"/>
              </w:rPr>
            </w:pPr>
          </w:p>
        </w:tc>
        <w:tc>
          <w:tcPr>
            <w:tcW w:w="2254" w:type="dxa"/>
            <w:vAlign w:val="center"/>
          </w:tcPr>
          <w:p w14:paraId="1CE69054" w14:textId="77777777"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C5-6</w:t>
            </w:r>
          </w:p>
        </w:tc>
        <w:tc>
          <w:tcPr>
            <w:tcW w:w="2254" w:type="dxa"/>
            <w:vAlign w:val="center"/>
          </w:tcPr>
          <w:p w14:paraId="543BA096" w14:textId="77777777"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10</w:t>
            </w:r>
          </w:p>
        </w:tc>
        <w:tc>
          <w:tcPr>
            <w:tcW w:w="2254" w:type="dxa"/>
            <w:vAlign w:val="center"/>
          </w:tcPr>
          <w:p w14:paraId="0E8C6B91" w14:textId="77777777"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52.63</w:t>
            </w:r>
          </w:p>
        </w:tc>
      </w:tr>
      <w:tr w:rsidR="001061EB" w:rsidRPr="00D20304" w14:paraId="252F1AC6" w14:textId="77777777" w:rsidTr="00355BCC">
        <w:tc>
          <w:tcPr>
            <w:tcW w:w="2254" w:type="dxa"/>
            <w:vMerge/>
            <w:vAlign w:val="center"/>
          </w:tcPr>
          <w:p w14:paraId="023B3F69" w14:textId="77777777" w:rsidR="001061EB" w:rsidRPr="00D20304" w:rsidRDefault="001061EB" w:rsidP="00355BCC">
            <w:pPr>
              <w:spacing w:line="276" w:lineRule="auto"/>
              <w:jc w:val="center"/>
              <w:rPr>
                <w:rFonts w:asciiTheme="majorBidi" w:hAnsiTheme="majorBidi" w:cstheme="majorBidi"/>
                <w:b/>
                <w:bCs/>
                <w:sz w:val="20"/>
                <w:szCs w:val="20"/>
                <w:lang w:val="en-US"/>
              </w:rPr>
            </w:pPr>
          </w:p>
        </w:tc>
        <w:tc>
          <w:tcPr>
            <w:tcW w:w="2254" w:type="dxa"/>
            <w:vAlign w:val="center"/>
          </w:tcPr>
          <w:p w14:paraId="35FC418A" w14:textId="77777777"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C6-7</w:t>
            </w:r>
          </w:p>
        </w:tc>
        <w:tc>
          <w:tcPr>
            <w:tcW w:w="2254" w:type="dxa"/>
            <w:vAlign w:val="center"/>
          </w:tcPr>
          <w:p w14:paraId="296B0CED" w14:textId="77777777"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3</w:t>
            </w:r>
          </w:p>
        </w:tc>
        <w:tc>
          <w:tcPr>
            <w:tcW w:w="2254" w:type="dxa"/>
            <w:vAlign w:val="center"/>
          </w:tcPr>
          <w:p w14:paraId="0ADB96A6" w14:textId="77777777"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15.79</w:t>
            </w:r>
          </w:p>
        </w:tc>
      </w:tr>
      <w:tr w:rsidR="001061EB" w:rsidRPr="00D20304" w14:paraId="0C48EAE7" w14:textId="77777777" w:rsidTr="00355BCC">
        <w:tc>
          <w:tcPr>
            <w:tcW w:w="2254" w:type="dxa"/>
            <w:vMerge w:val="restart"/>
            <w:vAlign w:val="center"/>
          </w:tcPr>
          <w:p w14:paraId="75177420" w14:textId="77777777"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Motor weakness</w:t>
            </w:r>
          </w:p>
        </w:tc>
        <w:tc>
          <w:tcPr>
            <w:tcW w:w="2254" w:type="dxa"/>
            <w:vAlign w:val="center"/>
          </w:tcPr>
          <w:p w14:paraId="1FCEEC3C" w14:textId="3DF3B3CE" w:rsidR="001061EB" w:rsidRPr="00D20304" w:rsidRDefault="004E7D72"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present</w:t>
            </w:r>
          </w:p>
        </w:tc>
        <w:tc>
          <w:tcPr>
            <w:tcW w:w="2254" w:type="dxa"/>
            <w:vAlign w:val="center"/>
          </w:tcPr>
          <w:p w14:paraId="60496FF8" w14:textId="77777777"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4</w:t>
            </w:r>
          </w:p>
        </w:tc>
        <w:tc>
          <w:tcPr>
            <w:tcW w:w="2254" w:type="dxa"/>
            <w:vAlign w:val="center"/>
          </w:tcPr>
          <w:p w14:paraId="7C596371" w14:textId="77777777"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21.05</w:t>
            </w:r>
          </w:p>
        </w:tc>
      </w:tr>
      <w:tr w:rsidR="001061EB" w:rsidRPr="00D20304" w14:paraId="5683E6BF" w14:textId="77777777" w:rsidTr="00355BCC">
        <w:tc>
          <w:tcPr>
            <w:tcW w:w="2254" w:type="dxa"/>
            <w:vMerge/>
            <w:vAlign w:val="center"/>
          </w:tcPr>
          <w:p w14:paraId="64685557" w14:textId="77777777" w:rsidR="001061EB" w:rsidRPr="00D20304" w:rsidRDefault="001061EB" w:rsidP="00355BCC">
            <w:pPr>
              <w:spacing w:line="276" w:lineRule="auto"/>
              <w:jc w:val="center"/>
              <w:rPr>
                <w:rFonts w:asciiTheme="majorBidi" w:hAnsiTheme="majorBidi" w:cstheme="majorBidi"/>
                <w:b/>
                <w:bCs/>
                <w:sz w:val="20"/>
                <w:szCs w:val="20"/>
                <w:lang w:val="en-US"/>
              </w:rPr>
            </w:pPr>
          </w:p>
        </w:tc>
        <w:tc>
          <w:tcPr>
            <w:tcW w:w="2254" w:type="dxa"/>
            <w:vAlign w:val="center"/>
          </w:tcPr>
          <w:p w14:paraId="119ED801" w14:textId="5F154C9B"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No</w:t>
            </w:r>
            <w:r w:rsidR="004E7D72" w:rsidRPr="00D20304">
              <w:rPr>
                <w:rFonts w:asciiTheme="majorBidi" w:hAnsiTheme="majorBidi" w:cstheme="majorBidi"/>
                <w:b/>
                <w:bCs/>
                <w:sz w:val="20"/>
                <w:szCs w:val="20"/>
                <w:lang w:val="en-US"/>
              </w:rPr>
              <w:t xml:space="preserve"> weakness</w:t>
            </w:r>
          </w:p>
        </w:tc>
        <w:tc>
          <w:tcPr>
            <w:tcW w:w="2254" w:type="dxa"/>
            <w:vAlign w:val="center"/>
          </w:tcPr>
          <w:p w14:paraId="15D15956" w14:textId="77777777"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15</w:t>
            </w:r>
          </w:p>
        </w:tc>
        <w:tc>
          <w:tcPr>
            <w:tcW w:w="2254" w:type="dxa"/>
            <w:vAlign w:val="center"/>
          </w:tcPr>
          <w:p w14:paraId="1B5CE9D9" w14:textId="77777777"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78.95</w:t>
            </w:r>
          </w:p>
        </w:tc>
      </w:tr>
      <w:tr w:rsidR="001061EB" w:rsidRPr="00D20304" w14:paraId="68FCC95A" w14:textId="77777777" w:rsidTr="00355BCC">
        <w:tc>
          <w:tcPr>
            <w:tcW w:w="2254" w:type="dxa"/>
            <w:vMerge w:val="restart"/>
            <w:vAlign w:val="center"/>
          </w:tcPr>
          <w:p w14:paraId="1D382114" w14:textId="632F6C0B" w:rsidR="001061EB" w:rsidRPr="00D20304" w:rsidRDefault="00B3757D"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Indication of</w:t>
            </w:r>
            <w:r w:rsidR="001061EB" w:rsidRPr="00D20304">
              <w:rPr>
                <w:rFonts w:asciiTheme="majorBidi" w:hAnsiTheme="majorBidi" w:cstheme="majorBidi"/>
                <w:b/>
                <w:bCs/>
                <w:sz w:val="20"/>
                <w:szCs w:val="20"/>
                <w:lang w:val="en-US"/>
              </w:rPr>
              <w:t xml:space="preserve"> </w:t>
            </w:r>
            <w:r w:rsidR="003B0A98" w:rsidRPr="00D20304">
              <w:rPr>
                <w:rFonts w:asciiTheme="majorBidi" w:hAnsiTheme="majorBidi" w:cstheme="majorBidi"/>
                <w:b/>
                <w:bCs/>
                <w:sz w:val="20"/>
                <w:szCs w:val="20"/>
                <w:lang w:val="en-US"/>
              </w:rPr>
              <w:t>surgery</w:t>
            </w:r>
          </w:p>
        </w:tc>
        <w:tc>
          <w:tcPr>
            <w:tcW w:w="2254" w:type="dxa"/>
            <w:vAlign w:val="center"/>
          </w:tcPr>
          <w:p w14:paraId="0D59C121" w14:textId="77777777"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Unilateral radiculopathy</w:t>
            </w:r>
          </w:p>
        </w:tc>
        <w:tc>
          <w:tcPr>
            <w:tcW w:w="2254" w:type="dxa"/>
            <w:vAlign w:val="center"/>
          </w:tcPr>
          <w:p w14:paraId="4752BFB1" w14:textId="77777777"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5</w:t>
            </w:r>
          </w:p>
        </w:tc>
        <w:tc>
          <w:tcPr>
            <w:tcW w:w="2254" w:type="dxa"/>
            <w:vAlign w:val="center"/>
          </w:tcPr>
          <w:p w14:paraId="4C90C5B0" w14:textId="29390180"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26.3</w:t>
            </w:r>
            <w:r w:rsidR="008A351B" w:rsidRPr="00D20304">
              <w:rPr>
                <w:rFonts w:asciiTheme="majorBidi" w:hAnsiTheme="majorBidi" w:cstheme="majorBidi"/>
                <w:b/>
                <w:bCs/>
                <w:sz w:val="20"/>
                <w:szCs w:val="20"/>
                <w:lang w:val="en-US"/>
              </w:rPr>
              <w:t>1</w:t>
            </w:r>
          </w:p>
        </w:tc>
      </w:tr>
      <w:tr w:rsidR="001061EB" w:rsidRPr="00D20304" w14:paraId="2EF8DC04" w14:textId="77777777" w:rsidTr="00355BCC">
        <w:tc>
          <w:tcPr>
            <w:tcW w:w="2254" w:type="dxa"/>
            <w:vMerge/>
            <w:vAlign w:val="center"/>
          </w:tcPr>
          <w:p w14:paraId="44C5686C" w14:textId="77777777" w:rsidR="001061EB" w:rsidRPr="00D20304" w:rsidRDefault="001061EB" w:rsidP="00355BCC">
            <w:pPr>
              <w:spacing w:line="276" w:lineRule="auto"/>
              <w:jc w:val="center"/>
              <w:rPr>
                <w:rFonts w:asciiTheme="majorBidi" w:hAnsiTheme="majorBidi" w:cstheme="majorBidi"/>
                <w:b/>
                <w:bCs/>
                <w:sz w:val="20"/>
                <w:szCs w:val="20"/>
                <w:lang w:val="en-US"/>
              </w:rPr>
            </w:pPr>
          </w:p>
        </w:tc>
        <w:tc>
          <w:tcPr>
            <w:tcW w:w="2254" w:type="dxa"/>
            <w:vAlign w:val="center"/>
          </w:tcPr>
          <w:p w14:paraId="6443D232" w14:textId="77777777"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Bilateral radiculopathy</w:t>
            </w:r>
          </w:p>
        </w:tc>
        <w:tc>
          <w:tcPr>
            <w:tcW w:w="2254" w:type="dxa"/>
            <w:vAlign w:val="center"/>
          </w:tcPr>
          <w:p w14:paraId="18E3B5A3" w14:textId="77777777"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8</w:t>
            </w:r>
          </w:p>
        </w:tc>
        <w:tc>
          <w:tcPr>
            <w:tcW w:w="2254" w:type="dxa"/>
            <w:vAlign w:val="center"/>
          </w:tcPr>
          <w:p w14:paraId="72BBF026" w14:textId="77777777"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42.11</w:t>
            </w:r>
          </w:p>
        </w:tc>
      </w:tr>
      <w:tr w:rsidR="001061EB" w:rsidRPr="00D20304" w14:paraId="4EB6F111" w14:textId="77777777" w:rsidTr="00355BCC">
        <w:tc>
          <w:tcPr>
            <w:tcW w:w="2254" w:type="dxa"/>
            <w:vMerge/>
            <w:vAlign w:val="center"/>
          </w:tcPr>
          <w:p w14:paraId="1C1D42D2" w14:textId="77777777" w:rsidR="001061EB" w:rsidRPr="00D20304" w:rsidRDefault="001061EB" w:rsidP="00355BCC">
            <w:pPr>
              <w:spacing w:line="276" w:lineRule="auto"/>
              <w:jc w:val="center"/>
              <w:rPr>
                <w:rFonts w:asciiTheme="majorBidi" w:hAnsiTheme="majorBidi" w:cstheme="majorBidi"/>
                <w:b/>
                <w:bCs/>
                <w:sz w:val="20"/>
                <w:szCs w:val="20"/>
                <w:lang w:val="en-US"/>
              </w:rPr>
            </w:pPr>
          </w:p>
        </w:tc>
        <w:tc>
          <w:tcPr>
            <w:tcW w:w="2254" w:type="dxa"/>
            <w:vAlign w:val="center"/>
          </w:tcPr>
          <w:p w14:paraId="29994310" w14:textId="77777777"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Radiculomyelopathy</w:t>
            </w:r>
          </w:p>
          <w:p w14:paraId="77AE8F4E" w14:textId="60A08867"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w:t>
            </w:r>
            <w:r w:rsidR="00D20304" w:rsidRPr="00D20304">
              <w:rPr>
                <w:rFonts w:asciiTheme="majorBidi" w:hAnsiTheme="majorBidi" w:cstheme="majorBidi"/>
                <w:b/>
                <w:bCs/>
                <w:sz w:val="20"/>
                <w:szCs w:val="20"/>
                <w:lang w:val="en-US"/>
              </w:rPr>
              <w:t>With</w:t>
            </w:r>
            <w:r w:rsidRPr="00D20304">
              <w:rPr>
                <w:rFonts w:asciiTheme="majorBidi" w:hAnsiTheme="majorBidi" w:cstheme="majorBidi"/>
                <w:b/>
                <w:bCs/>
                <w:sz w:val="20"/>
                <w:szCs w:val="20"/>
                <w:lang w:val="en-US"/>
              </w:rPr>
              <w:t xml:space="preserve"> unilateral    radiculopathy)</w:t>
            </w:r>
          </w:p>
        </w:tc>
        <w:tc>
          <w:tcPr>
            <w:tcW w:w="2254" w:type="dxa"/>
            <w:vAlign w:val="center"/>
          </w:tcPr>
          <w:p w14:paraId="7EBCA303" w14:textId="77777777"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4</w:t>
            </w:r>
          </w:p>
        </w:tc>
        <w:tc>
          <w:tcPr>
            <w:tcW w:w="2254" w:type="dxa"/>
            <w:vAlign w:val="center"/>
          </w:tcPr>
          <w:p w14:paraId="25C697B6" w14:textId="77777777"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21.05</w:t>
            </w:r>
          </w:p>
        </w:tc>
      </w:tr>
      <w:tr w:rsidR="001061EB" w:rsidRPr="00D20304" w14:paraId="2E3165A8" w14:textId="77777777" w:rsidTr="00355BCC">
        <w:tc>
          <w:tcPr>
            <w:tcW w:w="2254" w:type="dxa"/>
            <w:vMerge/>
            <w:vAlign w:val="center"/>
          </w:tcPr>
          <w:p w14:paraId="5B4AEBBF" w14:textId="77777777" w:rsidR="001061EB" w:rsidRPr="00D20304" w:rsidRDefault="001061EB" w:rsidP="00355BCC">
            <w:pPr>
              <w:spacing w:line="276" w:lineRule="auto"/>
              <w:jc w:val="center"/>
              <w:rPr>
                <w:rFonts w:asciiTheme="majorBidi" w:hAnsiTheme="majorBidi" w:cstheme="majorBidi"/>
                <w:b/>
                <w:bCs/>
                <w:sz w:val="20"/>
                <w:szCs w:val="20"/>
                <w:lang w:val="en-US"/>
              </w:rPr>
            </w:pPr>
          </w:p>
        </w:tc>
        <w:tc>
          <w:tcPr>
            <w:tcW w:w="2254" w:type="dxa"/>
            <w:vAlign w:val="center"/>
          </w:tcPr>
          <w:p w14:paraId="6442DEAB" w14:textId="77777777"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Radiculomyelopathy</w:t>
            </w:r>
          </w:p>
          <w:p w14:paraId="74652F9E" w14:textId="658914B9"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w:t>
            </w:r>
            <w:r w:rsidR="00CB4BA6" w:rsidRPr="00D20304">
              <w:rPr>
                <w:rFonts w:asciiTheme="majorBidi" w:hAnsiTheme="majorBidi" w:cstheme="majorBidi"/>
                <w:b/>
                <w:bCs/>
                <w:sz w:val="20"/>
                <w:szCs w:val="20"/>
                <w:lang w:val="en-US"/>
              </w:rPr>
              <w:t>With</w:t>
            </w:r>
            <w:r w:rsidRPr="00D20304">
              <w:rPr>
                <w:rFonts w:asciiTheme="majorBidi" w:hAnsiTheme="majorBidi" w:cstheme="majorBidi"/>
                <w:b/>
                <w:bCs/>
                <w:sz w:val="20"/>
                <w:szCs w:val="20"/>
                <w:lang w:val="en-US"/>
              </w:rPr>
              <w:t xml:space="preserve"> bilateral radiculopathy)</w:t>
            </w:r>
          </w:p>
        </w:tc>
        <w:tc>
          <w:tcPr>
            <w:tcW w:w="2254" w:type="dxa"/>
            <w:vAlign w:val="center"/>
          </w:tcPr>
          <w:p w14:paraId="68E0B702" w14:textId="77777777"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2</w:t>
            </w:r>
          </w:p>
        </w:tc>
        <w:tc>
          <w:tcPr>
            <w:tcW w:w="2254" w:type="dxa"/>
            <w:vAlign w:val="center"/>
          </w:tcPr>
          <w:p w14:paraId="0FD9B640" w14:textId="77777777" w:rsidR="001061EB" w:rsidRPr="00D20304" w:rsidRDefault="001061EB" w:rsidP="00355BCC">
            <w:pPr>
              <w:spacing w:line="276" w:lineRule="auto"/>
              <w:jc w:val="center"/>
              <w:rPr>
                <w:rFonts w:asciiTheme="majorBidi" w:hAnsiTheme="majorBidi" w:cstheme="majorBidi"/>
                <w:b/>
                <w:bCs/>
                <w:sz w:val="20"/>
                <w:szCs w:val="20"/>
                <w:lang w:val="en-US"/>
              </w:rPr>
            </w:pPr>
            <w:r w:rsidRPr="00D20304">
              <w:rPr>
                <w:rFonts w:asciiTheme="majorBidi" w:hAnsiTheme="majorBidi" w:cstheme="majorBidi"/>
                <w:b/>
                <w:bCs/>
                <w:sz w:val="20"/>
                <w:szCs w:val="20"/>
                <w:lang w:val="en-US"/>
              </w:rPr>
              <w:t>10.53</w:t>
            </w:r>
          </w:p>
        </w:tc>
      </w:tr>
    </w:tbl>
    <w:p w14:paraId="0DF3683F" w14:textId="77777777" w:rsidR="00F52AB3" w:rsidRPr="00D20304" w:rsidRDefault="00F52AB3" w:rsidP="000C5D58">
      <w:pPr>
        <w:autoSpaceDE w:val="0"/>
        <w:autoSpaceDN w:val="0"/>
        <w:adjustRightInd w:val="0"/>
        <w:spacing w:after="0" w:line="240" w:lineRule="auto"/>
        <w:jc w:val="both"/>
        <w:rPr>
          <w:rFonts w:asciiTheme="majorBidi" w:eastAsia="Times New Roman" w:hAnsiTheme="majorBidi" w:cstheme="majorBidi"/>
          <w:color w:val="231F20"/>
          <w:sz w:val="20"/>
          <w:szCs w:val="20"/>
        </w:rPr>
      </w:pPr>
    </w:p>
    <w:p w14:paraId="487E9598" w14:textId="77777777" w:rsidR="00DE13BF" w:rsidRPr="00DE13BF" w:rsidRDefault="00DE13BF" w:rsidP="00CB4BA6">
      <w:pPr>
        <w:autoSpaceDE w:val="0"/>
        <w:autoSpaceDN w:val="0"/>
        <w:adjustRightInd w:val="0"/>
        <w:spacing w:after="0" w:line="240" w:lineRule="auto"/>
        <w:jc w:val="both"/>
        <w:rPr>
          <w:rFonts w:ascii="Times New Roman" w:eastAsia="Times New Roman" w:hAnsi="Times New Roman" w:cs="Times New Roman"/>
          <w:color w:val="231F20"/>
          <w:sz w:val="24"/>
          <w:szCs w:val="24"/>
        </w:rPr>
      </w:pPr>
      <w:bookmarkStart w:id="7" w:name="_Hlk43993905"/>
      <w:r w:rsidRPr="00DE13BF">
        <w:rPr>
          <w:rFonts w:ascii="Times New Roman" w:eastAsia="Times New Roman" w:hAnsi="Times New Roman" w:cs="Times New Roman"/>
          <w:color w:val="231F20"/>
          <w:sz w:val="24"/>
          <w:szCs w:val="24"/>
        </w:rPr>
        <w:t xml:space="preserve">All patients showed improvement in their symptoms after surgery. 3 patients of the 4 with pre-op. motor weakness improved to full motor power within 3 months of post-op. physiotherapy while the fourth patient had same motor power as before surgery unchanged during follow up.   </w:t>
      </w:r>
    </w:p>
    <w:p w14:paraId="68EC3729" w14:textId="4A60E455" w:rsidR="00DB0B12" w:rsidRDefault="004057D4" w:rsidP="00CB4BA6">
      <w:pPr>
        <w:autoSpaceDE w:val="0"/>
        <w:autoSpaceDN w:val="0"/>
        <w:adjustRightInd w:val="0"/>
        <w:spacing w:after="0" w:line="240" w:lineRule="auto"/>
        <w:jc w:val="both"/>
        <w:rPr>
          <w:rFonts w:ascii="Times New Roman" w:eastAsia="Times New Roman" w:hAnsi="Times New Roman" w:cs="Times New Roman"/>
          <w:color w:val="231F20"/>
          <w:sz w:val="24"/>
          <w:szCs w:val="24"/>
        </w:rPr>
      </w:pPr>
      <w:r w:rsidRPr="004057D4">
        <w:rPr>
          <w:rFonts w:ascii="Times New Roman" w:eastAsia="Times New Roman" w:hAnsi="Times New Roman" w:cs="Times New Roman"/>
          <w:color w:val="231F20"/>
          <w:sz w:val="24"/>
          <w:szCs w:val="24"/>
        </w:rPr>
        <w:t>Table 2 shows differences in pre and 1-year post-operative neck pain VAS scores. Statistically this difference was found significant at P&lt;0.001 (Figure 1A). Similarly, Table 3 and Figure 1B show Statistically</w:t>
      </w:r>
      <w:r w:rsidRPr="004057D4">
        <w:rPr>
          <w:rFonts w:ascii="Times New Roman" w:eastAsia="Times New Roman" w:hAnsi="Times New Roman" w:cs="Times New Roman"/>
          <w:color w:val="FF0000"/>
          <w:sz w:val="24"/>
          <w:szCs w:val="24"/>
        </w:rPr>
        <w:t xml:space="preserve"> </w:t>
      </w:r>
      <w:r w:rsidRPr="004057D4">
        <w:rPr>
          <w:rFonts w:ascii="Times New Roman" w:eastAsia="Times New Roman" w:hAnsi="Times New Roman" w:cs="Times New Roman"/>
          <w:color w:val="231F20"/>
          <w:sz w:val="24"/>
          <w:szCs w:val="24"/>
        </w:rPr>
        <w:t>significant reduction in VAS scores for arm pain (radiculopathy) 1-year post-operative as compared to pre-operative.</w:t>
      </w:r>
      <w:r w:rsidRPr="004057D4">
        <w:rPr>
          <w:rFonts w:ascii="Times New Roman" w:eastAsia="Times New Roman" w:hAnsi="Times New Roman" w:cs="Times New Roman" w:hint="cs"/>
          <w:color w:val="231F20"/>
          <w:sz w:val="24"/>
          <w:szCs w:val="24"/>
          <w:rtl/>
        </w:rPr>
        <w:t xml:space="preserve"> </w:t>
      </w:r>
      <w:bookmarkEnd w:id="7"/>
    </w:p>
    <w:p w14:paraId="02247450" w14:textId="77777777" w:rsidR="00CB4BA6" w:rsidRPr="00CB4BA6" w:rsidRDefault="00CB4BA6" w:rsidP="00CB4BA6">
      <w:pPr>
        <w:autoSpaceDE w:val="0"/>
        <w:autoSpaceDN w:val="0"/>
        <w:adjustRightInd w:val="0"/>
        <w:spacing w:after="0" w:line="240" w:lineRule="auto"/>
        <w:jc w:val="both"/>
        <w:rPr>
          <w:rFonts w:ascii="Times New Roman" w:eastAsia="Times New Roman" w:hAnsi="Times New Roman" w:cs="Times New Roman"/>
          <w:color w:val="231F20"/>
          <w:sz w:val="24"/>
          <w:szCs w:val="24"/>
        </w:rPr>
      </w:pPr>
    </w:p>
    <w:p w14:paraId="5705BD7A" w14:textId="4C9B18E1" w:rsidR="00774EA4" w:rsidRPr="00CB4BA6" w:rsidRDefault="00774EA4" w:rsidP="00774EA4">
      <w:pPr>
        <w:spacing w:line="276" w:lineRule="auto"/>
        <w:rPr>
          <w:rFonts w:asciiTheme="majorBidi" w:hAnsiTheme="majorBidi" w:cstheme="majorBidi"/>
          <w:b/>
          <w:bCs/>
          <w:sz w:val="20"/>
          <w:szCs w:val="20"/>
        </w:rPr>
      </w:pPr>
      <w:r w:rsidRPr="00CB4BA6">
        <w:rPr>
          <w:rFonts w:asciiTheme="majorBidi" w:hAnsiTheme="majorBidi" w:cstheme="majorBidi"/>
          <w:b/>
          <w:bCs/>
          <w:sz w:val="20"/>
          <w:szCs w:val="20"/>
        </w:rPr>
        <w:t>Table 2</w:t>
      </w:r>
      <w:r w:rsidR="0014039E" w:rsidRPr="00CB4BA6">
        <w:rPr>
          <w:rFonts w:asciiTheme="majorBidi" w:hAnsiTheme="majorBidi" w:cstheme="majorBidi"/>
          <w:b/>
          <w:bCs/>
          <w:sz w:val="20"/>
          <w:szCs w:val="20"/>
        </w:rPr>
        <w:t>:</w:t>
      </w:r>
      <w:r w:rsidRPr="00CB4BA6">
        <w:rPr>
          <w:rFonts w:asciiTheme="majorBidi" w:hAnsiTheme="majorBidi" w:cstheme="majorBidi"/>
          <w:b/>
          <w:bCs/>
          <w:sz w:val="20"/>
          <w:szCs w:val="20"/>
        </w:rPr>
        <w:t xml:space="preserve"> Differences in pre and </w:t>
      </w:r>
      <w:bookmarkStart w:id="8" w:name="_Hlk45123692"/>
      <w:r w:rsidRPr="00CB4BA6">
        <w:rPr>
          <w:rFonts w:asciiTheme="majorBidi" w:hAnsiTheme="majorBidi" w:cstheme="majorBidi"/>
          <w:b/>
          <w:bCs/>
          <w:sz w:val="20"/>
          <w:szCs w:val="20"/>
        </w:rPr>
        <w:t xml:space="preserve">1-year </w:t>
      </w:r>
      <w:bookmarkEnd w:id="8"/>
      <w:r w:rsidRPr="00CB4BA6">
        <w:rPr>
          <w:rFonts w:asciiTheme="majorBidi" w:hAnsiTheme="majorBidi" w:cstheme="majorBidi"/>
          <w:b/>
          <w:bCs/>
          <w:sz w:val="20"/>
          <w:szCs w:val="20"/>
        </w:rPr>
        <w:t xml:space="preserve">post-operative neck pain VAS scores </w:t>
      </w:r>
    </w:p>
    <w:tbl>
      <w:tblPr>
        <w:tblStyle w:val="TableGrid"/>
        <w:tblW w:w="5000" w:type="pct"/>
        <w:tblLook w:val="04A0" w:firstRow="1" w:lastRow="0" w:firstColumn="1" w:lastColumn="0" w:noHBand="0" w:noVBand="1"/>
      </w:tblPr>
      <w:tblGrid>
        <w:gridCol w:w="3302"/>
        <w:gridCol w:w="1967"/>
        <w:gridCol w:w="1144"/>
        <w:gridCol w:w="1778"/>
        <w:gridCol w:w="1159"/>
      </w:tblGrid>
      <w:tr w:rsidR="00774EA4" w:rsidRPr="003C10E4" w14:paraId="08248A04" w14:textId="77777777" w:rsidTr="00355BCC">
        <w:tc>
          <w:tcPr>
            <w:tcW w:w="1765" w:type="pct"/>
            <w:vMerge w:val="restart"/>
            <w:shd w:val="clear" w:color="auto" w:fill="BFBFBF" w:themeFill="background1" w:themeFillShade="BF"/>
            <w:vAlign w:val="center"/>
          </w:tcPr>
          <w:p w14:paraId="1242D1D5" w14:textId="77777777" w:rsidR="00774EA4" w:rsidRPr="00CB4BA6" w:rsidRDefault="00774EA4" w:rsidP="00774EA4">
            <w:pPr>
              <w:spacing w:line="276" w:lineRule="auto"/>
              <w:jc w:val="center"/>
              <w:rPr>
                <w:rFonts w:asciiTheme="majorBidi" w:hAnsiTheme="majorBidi" w:cstheme="majorBidi"/>
                <w:b/>
                <w:bCs/>
                <w:sz w:val="20"/>
                <w:szCs w:val="20"/>
                <w:lang w:val="en-US"/>
              </w:rPr>
            </w:pPr>
            <w:r w:rsidRPr="00CB4BA6">
              <w:rPr>
                <w:rFonts w:asciiTheme="majorBidi" w:hAnsiTheme="majorBidi" w:cstheme="majorBidi"/>
                <w:b/>
                <w:bCs/>
                <w:sz w:val="20"/>
                <w:szCs w:val="20"/>
                <w:lang w:val="en-US"/>
              </w:rPr>
              <w:t>No.=19</w:t>
            </w:r>
          </w:p>
        </w:tc>
        <w:tc>
          <w:tcPr>
            <w:tcW w:w="1664" w:type="pct"/>
            <w:gridSpan w:val="2"/>
            <w:shd w:val="clear" w:color="auto" w:fill="BFBFBF" w:themeFill="background1" w:themeFillShade="BF"/>
            <w:vAlign w:val="center"/>
          </w:tcPr>
          <w:p w14:paraId="28788A0F" w14:textId="77777777" w:rsidR="00774EA4" w:rsidRPr="00CB4BA6" w:rsidRDefault="00774EA4" w:rsidP="00774EA4">
            <w:pPr>
              <w:spacing w:line="276" w:lineRule="auto"/>
              <w:jc w:val="center"/>
              <w:rPr>
                <w:rFonts w:asciiTheme="majorBidi" w:hAnsiTheme="majorBidi" w:cstheme="majorBidi"/>
                <w:b/>
                <w:bCs/>
                <w:sz w:val="20"/>
                <w:szCs w:val="20"/>
                <w:lang w:val="en-US"/>
              </w:rPr>
            </w:pPr>
            <w:r w:rsidRPr="00CB4BA6">
              <w:rPr>
                <w:rFonts w:asciiTheme="majorBidi" w:hAnsiTheme="majorBidi" w:cstheme="majorBidi"/>
                <w:b/>
                <w:bCs/>
                <w:sz w:val="20"/>
                <w:szCs w:val="20"/>
                <w:lang w:val="en-US"/>
              </w:rPr>
              <w:t>Neck pain VAS scores</w:t>
            </w:r>
          </w:p>
        </w:tc>
        <w:tc>
          <w:tcPr>
            <w:tcW w:w="951" w:type="pct"/>
            <w:vMerge w:val="restart"/>
            <w:shd w:val="clear" w:color="auto" w:fill="BFBFBF" w:themeFill="background1" w:themeFillShade="BF"/>
            <w:vAlign w:val="center"/>
          </w:tcPr>
          <w:p w14:paraId="33552556" w14:textId="77777777" w:rsidR="00774EA4" w:rsidRPr="00CB4BA6" w:rsidRDefault="00774EA4" w:rsidP="00774EA4">
            <w:pPr>
              <w:spacing w:line="276" w:lineRule="auto"/>
              <w:jc w:val="center"/>
              <w:rPr>
                <w:rFonts w:asciiTheme="majorBidi" w:hAnsiTheme="majorBidi" w:cstheme="majorBidi"/>
                <w:b/>
                <w:bCs/>
                <w:sz w:val="20"/>
                <w:szCs w:val="20"/>
                <w:lang w:val="en-US"/>
              </w:rPr>
            </w:pPr>
            <w:r w:rsidRPr="00CB4BA6">
              <w:rPr>
                <w:rFonts w:asciiTheme="majorBidi" w:hAnsiTheme="majorBidi" w:cstheme="majorBidi"/>
                <w:b/>
                <w:bCs/>
                <w:sz w:val="20"/>
                <w:szCs w:val="20"/>
                <w:lang w:val="en-US"/>
              </w:rPr>
              <w:t>Paired t-test</w:t>
            </w:r>
          </w:p>
        </w:tc>
        <w:tc>
          <w:tcPr>
            <w:tcW w:w="619" w:type="pct"/>
            <w:vMerge w:val="restart"/>
            <w:shd w:val="clear" w:color="auto" w:fill="BFBFBF" w:themeFill="background1" w:themeFillShade="BF"/>
            <w:vAlign w:val="center"/>
          </w:tcPr>
          <w:p w14:paraId="64861D72" w14:textId="77777777" w:rsidR="00774EA4" w:rsidRPr="00CB4BA6" w:rsidRDefault="00774EA4" w:rsidP="00774EA4">
            <w:pPr>
              <w:spacing w:line="276" w:lineRule="auto"/>
              <w:jc w:val="center"/>
              <w:rPr>
                <w:rFonts w:asciiTheme="majorBidi" w:hAnsiTheme="majorBidi" w:cstheme="majorBidi"/>
                <w:b/>
                <w:bCs/>
                <w:sz w:val="20"/>
                <w:szCs w:val="20"/>
                <w:lang w:val="en-US"/>
              </w:rPr>
            </w:pPr>
            <w:r w:rsidRPr="00CB4BA6">
              <w:rPr>
                <w:rFonts w:asciiTheme="majorBidi" w:hAnsiTheme="majorBidi" w:cstheme="majorBidi"/>
                <w:b/>
                <w:bCs/>
                <w:sz w:val="20"/>
                <w:szCs w:val="20"/>
                <w:lang w:val="en-US"/>
              </w:rPr>
              <w:t>P</w:t>
            </w:r>
          </w:p>
        </w:tc>
      </w:tr>
      <w:tr w:rsidR="00774EA4" w:rsidRPr="003C10E4" w14:paraId="57AB1B9B" w14:textId="77777777" w:rsidTr="00355BCC">
        <w:tc>
          <w:tcPr>
            <w:tcW w:w="1765" w:type="pct"/>
            <w:vMerge/>
            <w:shd w:val="clear" w:color="auto" w:fill="BFBFBF" w:themeFill="background1" w:themeFillShade="BF"/>
            <w:vAlign w:val="center"/>
          </w:tcPr>
          <w:p w14:paraId="7CCF68A2" w14:textId="77777777" w:rsidR="00774EA4" w:rsidRPr="00CB4BA6" w:rsidRDefault="00774EA4" w:rsidP="00774EA4">
            <w:pPr>
              <w:spacing w:line="276" w:lineRule="auto"/>
              <w:jc w:val="center"/>
              <w:rPr>
                <w:rFonts w:asciiTheme="majorBidi" w:hAnsiTheme="majorBidi" w:cstheme="majorBidi"/>
                <w:b/>
                <w:bCs/>
                <w:sz w:val="20"/>
                <w:szCs w:val="20"/>
                <w:lang w:val="en-US"/>
              </w:rPr>
            </w:pPr>
          </w:p>
        </w:tc>
        <w:tc>
          <w:tcPr>
            <w:tcW w:w="1052" w:type="pct"/>
            <w:shd w:val="clear" w:color="auto" w:fill="BFBFBF" w:themeFill="background1" w:themeFillShade="BF"/>
            <w:vAlign w:val="center"/>
          </w:tcPr>
          <w:p w14:paraId="3BEDFCFF" w14:textId="77777777" w:rsidR="00774EA4" w:rsidRPr="00CB4BA6" w:rsidRDefault="00774EA4" w:rsidP="00774EA4">
            <w:pPr>
              <w:spacing w:line="276" w:lineRule="auto"/>
              <w:jc w:val="center"/>
              <w:rPr>
                <w:rFonts w:asciiTheme="majorBidi" w:hAnsiTheme="majorBidi" w:cstheme="majorBidi"/>
                <w:b/>
                <w:bCs/>
                <w:sz w:val="20"/>
                <w:szCs w:val="20"/>
                <w:lang w:val="en-US"/>
              </w:rPr>
            </w:pPr>
            <w:r w:rsidRPr="00CB4BA6">
              <w:rPr>
                <w:rFonts w:asciiTheme="majorBidi" w:hAnsiTheme="majorBidi" w:cstheme="majorBidi"/>
                <w:b/>
                <w:bCs/>
                <w:sz w:val="20"/>
                <w:szCs w:val="20"/>
                <w:lang w:val="en-US"/>
              </w:rPr>
              <w:t>Mean ±SD</w:t>
            </w:r>
          </w:p>
        </w:tc>
        <w:tc>
          <w:tcPr>
            <w:tcW w:w="612" w:type="pct"/>
            <w:shd w:val="clear" w:color="auto" w:fill="BFBFBF" w:themeFill="background1" w:themeFillShade="BF"/>
            <w:vAlign w:val="center"/>
          </w:tcPr>
          <w:p w14:paraId="340F9D14" w14:textId="77777777" w:rsidR="00774EA4" w:rsidRPr="00CB4BA6" w:rsidRDefault="00774EA4" w:rsidP="00774EA4">
            <w:pPr>
              <w:spacing w:line="276" w:lineRule="auto"/>
              <w:jc w:val="center"/>
              <w:rPr>
                <w:rFonts w:asciiTheme="majorBidi" w:hAnsiTheme="majorBidi" w:cstheme="majorBidi"/>
                <w:b/>
                <w:bCs/>
                <w:sz w:val="20"/>
                <w:szCs w:val="20"/>
                <w:lang w:val="en-US"/>
              </w:rPr>
            </w:pPr>
            <w:r w:rsidRPr="00CB4BA6">
              <w:rPr>
                <w:rFonts w:asciiTheme="majorBidi" w:hAnsiTheme="majorBidi" w:cstheme="majorBidi"/>
                <w:b/>
                <w:bCs/>
                <w:sz w:val="20"/>
                <w:szCs w:val="20"/>
                <w:lang w:val="en-US"/>
              </w:rPr>
              <w:t>Range</w:t>
            </w:r>
          </w:p>
        </w:tc>
        <w:tc>
          <w:tcPr>
            <w:tcW w:w="951" w:type="pct"/>
            <w:vMerge/>
            <w:shd w:val="clear" w:color="auto" w:fill="BFBFBF" w:themeFill="background1" w:themeFillShade="BF"/>
            <w:vAlign w:val="center"/>
          </w:tcPr>
          <w:p w14:paraId="5609C4F5" w14:textId="77777777" w:rsidR="00774EA4" w:rsidRPr="00CB4BA6" w:rsidRDefault="00774EA4" w:rsidP="00355BCC">
            <w:pPr>
              <w:jc w:val="center"/>
              <w:rPr>
                <w:rFonts w:asciiTheme="majorBidi" w:hAnsiTheme="majorBidi" w:cstheme="majorBidi"/>
                <w:b/>
                <w:bCs/>
                <w:sz w:val="20"/>
                <w:szCs w:val="20"/>
                <w:lang w:val="en-US"/>
              </w:rPr>
            </w:pPr>
          </w:p>
        </w:tc>
        <w:tc>
          <w:tcPr>
            <w:tcW w:w="619" w:type="pct"/>
            <w:vMerge/>
            <w:shd w:val="clear" w:color="auto" w:fill="BFBFBF" w:themeFill="background1" w:themeFillShade="BF"/>
            <w:vAlign w:val="center"/>
          </w:tcPr>
          <w:p w14:paraId="4FD5C9CA" w14:textId="77777777" w:rsidR="00774EA4" w:rsidRPr="00CB4BA6" w:rsidRDefault="00774EA4" w:rsidP="00355BCC">
            <w:pPr>
              <w:jc w:val="center"/>
              <w:rPr>
                <w:rFonts w:asciiTheme="majorBidi" w:hAnsiTheme="majorBidi" w:cstheme="majorBidi"/>
                <w:b/>
                <w:bCs/>
                <w:sz w:val="20"/>
                <w:szCs w:val="20"/>
                <w:lang w:val="en-US"/>
              </w:rPr>
            </w:pPr>
          </w:p>
        </w:tc>
      </w:tr>
      <w:tr w:rsidR="00774EA4" w:rsidRPr="003C10E4" w14:paraId="3C42900D" w14:textId="77777777" w:rsidTr="00355BCC">
        <w:tc>
          <w:tcPr>
            <w:tcW w:w="1765" w:type="pct"/>
            <w:vAlign w:val="center"/>
          </w:tcPr>
          <w:p w14:paraId="5A4EDF40" w14:textId="77777777" w:rsidR="00774EA4" w:rsidRPr="00CB4BA6" w:rsidRDefault="00774EA4" w:rsidP="00774EA4">
            <w:pPr>
              <w:spacing w:line="276" w:lineRule="auto"/>
              <w:jc w:val="center"/>
              <w:rPr>
                <w:rFonts w:asciiTheme="majorBidi" w:hAnsiTheme="majorBidi" w:cstheme="majorBidi"/>
                <w:b/>
                <w:bCs/>
                <w:sz w:val="20"/>
                <w:szCs w:val="20"/>
                <w:lang w:val="en-US"/>
              </w:rPr>
            </w:pPr>
            <w:r w:rsidRPr="00CB4BA6">
              <w:rPr>
                <w:rFonts w:asciiTheme="majorBidi" w:hAnsiTheme="majorBidi" w:cstheme="majorBidi"/>
                <w:b/>
                <w:bCs/>
                <w:sz w:val="20"/>
                <w:szCs w:val="20"/>
                <w:lang w:val="en-US"/>
              </w:rPr>
              <w:t>Pre-operative</w:t>
            </w:r>
          </w:p>
        </w:tc>
        <w:tc>
          <w:tcPr>
            <w:tcW w:w="1052" w:type="pct"/>
            <w:vAlign w:val="center"/>
          </w:tcPr>
          <w:p w14:paraId="1ED78134" w14:textId="77777777" w:rsidR="00774EA4" w:rsidRPr="00CB4BA6" w:rsidRDefault="00774EA4" w:rsidP="00774EA4">
            <w:pPr>
              <w:spacing w:line="276" w:lineRule="auto"/>
              <w:jc w:val="center"/>
              <w:rPr>
                <w:rFonts w:asciiTheme="majorBidi" w:hAnsiTheme="majorBidi" w:cstheme="majorBidi"/>
                <w:b/>
                <w:bCs/>
                <w:sz w:val="20"/>
                <w:szCs w:val="20"/>
                <w:lang w:val="en-US"/>
              </w:rPr>
            </w:pPr>
            <w:r w:rsidRPr="00CB4BA6">
              <w:rPr>
                <w:rFonts w:asciiTheme="majorBidi" w:hAnsiTheme="majorBidi" w:cstheme="majorBidi"/>
                <w:b/>
                <w:bCs/>
                <w:sz w:val="20"/>
                <w:szCs w:val="20"/>
                <w:lang w:val="en-US"/>
              </w:rPr>
              <w:t>7.37±1.74</w:t>
            </w:r>
          </w:p>
        </w:tc>
        <w:tc>
          <w:tcPr>
            <w:tcW w:w="612" w:type="pct"/>
            <w:vAlign w:val="center"/>
          </w:tcPr>
          <w:p w14:paraId="4C847165" w14:textId="77777777" w:rsidR="00774EA4" w:rsidRPr="00CB4BA6" w:rsidRDefault="00774EA4" w:rsidP="00774EA4">
            <w:pPr>
              <w:spacing w:line="276" w:lineRule="auto"/>
              <w:jc w:val="center"/>
              <w:rPr>
                <w:rFonts w:asciiTheme="majorBidi" w:hAnsiTheme="majorBidi" w:cstheme="majorBidi"/>
                <w:b/>
                <w:bCs/>
                <w:sz w:val="20"/>
                <w:szCs w:val="20"/>
                <w:lang w:val="en-US"/>
              </w:rPr>
            </w:pPr>
            <w:r w:rsidRPr="00CB4BA6">
              <w:rPr>
                <w:rFonts w:asciiTheme="majorBidi" w:hAnsiTheme="majorBidi" w:cstheme="majorBidi"/>
                <w:b/>
                <w:bCs/>
                <w:sz w:val="20"/>
                <w:szCs w:val="20"/>
                <w:lang w:val="en-US"/>
              </w:rPr>
              <w:t>4-10</w:t>
            </w:r>
          </w:p>
        </w:tc>
        <w:tc>
          <w:tcPr>
            <w:tcW w:w="951" w:type="pct"/>
            <w:vMerge w:val="restart"/>
            <w:vAlign w:val="center"/>
          </w:tcPr>
          <w:p w14:paraId="0FFF10CD" w14:textId="77777777" w:rsidR="00774EA4" w:rsidRPr="00CB4BA6" w:rsidRDefault="00774EA4" w:rsidP="00774EA4">
            <w:pPr>
              <w:spacing w:line="276" w:lineRule="auto"/>
              <w:jc w:val="center"/>
              <w:rPr>
                <w:rFonts w:asciiTheme="majorBidi" w:hAnsiTheme="majorBidi" w:cstheme="majorBidi"/>
                <w:b/>
                <w:bCs/>
                <w:sz w:val="20"/>
                <w:szCs w:val="20"/>
                <w:lang w:val="en-US"/>
              </w:rPr>
            </w:pPr>
            <w:r w:rsidRPr="00CB4BA6">
              <w:rPr>
                <w:rFonts w:asciiTheme="majorBidi" w:hAnsiTheme="majorBidi" w:cstheme="majorBidi"/>
                <w:b/>
                <w:bCs/>
                <w:sz w:val="20"/>
                <w:szCs w:val="20"/>
                <w:lang w:val="en-US"/>
              </w:rPr>
              <w:t>9.87</w:t>
            </w:r>
          </w:p>
        </w:tc>
        <w:tc>
          <w:tcPr>
            <w:tcW w:w="619" w:type="pct"/>
            <w:vMerge w:val="restart"/>
            <w:vAlign w:val="center"/>
          </w:tcPr>
          <w:p w14:paraId="47344B89" w14:textId="77777777" w:rsidR="00774EA4" w:rsidRPr="00CB4BA6" w:rsidRDefault="00774EA4" w:rsidP="00774EA4">
            <w:pPr>
              <w:spacing w:line="276" w:lineRule="auto"/>
              <w:jc w:val="center"/>
              <w:rPr>
                <w:rFonts w:asciiTheme="majorBidi" w:hAnsiTheme="majorBidi" w:cstheme="majorBidi"/>
                <w:b/>
                <w:bCs/>
                <w:sz w:val="20"/>
                <w:szCs w:val="20"/>
                <w:lang w:val="en-US"/>
              </w:rPr>
            </w:pPr>
            <w:r w:rsidRPr="00CB4BA6">
              <w:rPr>
                <w:rFonts w:asciiTheme="majorBidi" w:hAnsiTheme="majorBidi" w:cstheme="majorBidi"/>
                <w:b/>
                <w:bCs/>
                <w:sz w:val="20"/>
                <w:szCs w:val="20"/>
                <w:lang w:val="en-US"/>
              </w:rPr>
              <w:t>&lt;0.001</w:t>
            </w:r>
          </w:p>
        </w:tc>
      </w:tr>
      <w:tr w:rsidR="00774EA4" w:rsidRPr="003C10E4" w14:paraId="30F59559" w14:textId="77777777" w:rsidTr="00355BCC">
        <w:tc>
          <w:tcPr>
            <w:tcW w:w="1765" w:type="pct"/>
            <w:vAlign w:val="center"/>
          </w:tcPr>
          <w:p w14:paraId="609D0EEC" w14:textId="77777777" w:rsidR="00774EA4" w:rsidRPr="00CB4BA6" w:rsidRDefault="00774EA4" w:rsidP="00774EA4">
            <w:pPr>
              <w:spacing w:line="276" w:lineRule="auto"/>
              <w:jc w:val="center"/>
              <w:rPr>
                <w:rFonts w:asciiTheme="majorBidi" w:hAnsiTheme="majorBidi" w:cstheme="majorBidi"/>
                <w:b/>
                <w:bCs/>
                <w:sz w:val="20"/>
                <w:szCs w:val="20"/>
                <w:lang w:val="en-US"/>
              </w:rPr>
            </w:pPr>
            <w:r w:rsidRPr="00CB4BA6">
              <w:rPr>
                <w:rFonts w:asciiTheme="majorBidi" w:hAnsiTheme="majorBidi" w:cstheme="majorBidi"/>
                <w:b/>
                <w:bCs/>
                <w:sz w:val="20"/>
                <w:szCs w:val="20"/>
                <w:lang w:val="en-US"/>
              </w:rPr>
              <w:t>One-year post-operative</w:t>
            </w:r>
          </w:p>
        </w:tc>
        <w:tc>
          <w:tcPr>
            <w:tcW w:w="1052" w:type="pct"/>
            <w:vAlign w:val="center"/>
          </w:tcPr>
          <w:p w14:paraId="04526987" w14:textId="77777777" w:rsidR="00774EA4" w:rsidRPr="00CB4BA6" w:rsidRDefault="00774EA4" w:rsidP="00774EA4">
            <w:pPr>
              <w:spacing w:line="276" w:lineRule="auto"/>
              <w:jc w:val="center"/>
              <w:rPr>
                <w:rFonts w:asciiTheme="majorBidi" w:hAnsiTheme="majorBidi" w:cstheme="majorBidi"/>
                <w:b/>
                <w:bCs/>
                <w:sz w:val="20"/>
                <w:szCs w:val="20"/>
                <w:lang w:val="en-US"/>
              </w:rPr>
            </w:pPr>
            <w:bookmarkStart w:id="9" w:name="_Hlk43993810"/>
            <w:r w:rsidRPr="00CB4BA6">
              <w:rPr>
                <w:rFonts w:asciiTheme="majorBidi" w:hAnsiTheme="majorBidi" w:cstheme="majorBidi"/>
                <w:b/>
                <w:bCs/>
                <w:sz w:val="20"/>
                <w:szCs w:val="20"/>
                <w:lang w:val="en-US"/>
              </w:rPr>
              <w:t>2.95±1.27</w:t>
            </w:r>
            <w:bookmarkEnd w:id="9"/>
          </w:p>
        </w:tc>
        <w:tc>
          <w:tcPr>
            <w:tcW w:w="612" w:type="pct"/>
            <w:vAlign w:val="center"/>
          </w:tcPr>
          <w:p w14:paraId="68A701D5" w14:textId="77777777" w:rsidR="00774EA4" w:rsidRPr="00CB4BA6" w:rsidRDefault="00774EA4" w:rsidP="00774EA4">
            <w:pPr>
              <w:spacing w:line="276" w:lineRule="auto"/>
              <w:jc w:val="center"/>
              <w:rPr>
                <w:rFonts w:asciiTheme="majorBidi" w:hAnsiTheme="majorBidi" w:cstheme="majorBidi"/>
                <w:b/>
                <w:bCs/>
                <w:sz w:val="20"/>
                <w:szCs w:val="20"/>
                <w:lang w:val="en-US"/>
              </w:rPr>
            </w:pPr>
            <w:r w:rsidRPr="00CB4BA6">
              <w:rPr>
                <w:rFonts w:asciiTheme="majorBidi" w:hAnsiTheme="majorBidi" w:cstheme="majorBidi"/>
                <w:b/>
                <w:bCs/>
                <w:sz w:val="20"/>
                <w:szCs w:val="20"/>
                <w:lang w:val="en-US"/>
              </w:rPr>
              <w:t>1-6</w:t>
            </w:r>
          </w:p>
        </w:tc>
        <w:tc>
          <w:tcPr>
            <w:tcW w:w="951" w:type="pct"/>
            <w:vMerge/>
            <w:vAlign w:val="center"/>
          </w:tcPr>
          <w:p w14:paraId="69FE4582" w14:textId="77777777" w:rsidR="00774EA4" w:rsidRPr="00CB4BA6" w:rsidRDefault="00774EA4" w:rsidP="00355BCC">
            <w:pPr>
              <w:jc w:val="center"/>
              <w:rPr>
                <w:rFonts w:asciiTheme="majorBidi" w:hAnsiTheme="majorBidi" w:cstheme="majorBidi"/>
                <w:b/>
                <w:bCs/>
                <w:sz w:val="20"/>
                <w:szCs w:val="20"/>
                <w:lang w:val="en-US"/>
              </w:rPr>
            </w:pPr>
          </w:p>
        </w:tc>
        <w:tc>
          <w:tcPr>
            <w:tcW w:w="619" w:type="pct"/>
            <w:vMerge/>
            <w:vAlign w:val="center"/>
          </w:tcPr>
          <w:p w14:paraId="5ABD731A" w14:textId="77777777" w:rsidR="00774EA4" w:rsidRPr="00CB4BA6" w:rsidRDefault="00774EA4" w:rsidP="00355BCC">
            <w:pPr>
              <w:jc w:val="center"/>
              <w:rPr>
                <w:rFonts w:asciiTheme="majorBidi" w:hAnsiTheme="majorBidi" w:cstheme="majorBidi"/>
                <w:b/>
                <w:bCs/>
                <w:sz w:val="20"/>
                <w:szCs w:val="20"/>
                <w:lang w:val="en-US"/>
              </w:rPr>
            </w:pPr>
          </w:p>
        </w:tc>
      </w:tr>
      <w:tr w:rsidR="00774EA4" w:rsidRPr="003C10E4" w14:paraId="262F6AC8" w14:textId="77777777" w:rsidTr="00355BCC">
        <w:tc>
          <w:tcPr>
            <w:tcW w:w="1765" w:type="pct"/>
            <w:vAlign w:val="center"/>
          </w:tcPr>
          <w:p w14:paraId="586F3632" w14:textId="77777777" w:rsidR="00774EA4" w:rsidRPr="00CB4BA6" w:rsidRDefault="00774EA4" w:rsidP="00774EA4">
            <w:pPr>
              <w:spacing w:line="276" w:lineRule="auto"/>
              <w:jc w:val="center"/>
              <w:rPr>
                <w:rFonts w:asciiTheme="majorBidi" w:hAnsiTheme="majorBidi" w:cstheme="majorBidi"/>
                <w:b/>
                <w:bCs/>
                <w:sz w:val="20"/>
                <w:szCs w:val="20"/>
                <w:lang w:val="en-US"/>
              </w:rPr>
            </w:pPr>
            <w:r w:rsidRPr="00CB4BA6">
              <w:rPr>
                <w:rFonts w:asciiTheme="majorBidi" w:hAnsiTheme="majorBidi" w:cstheme="majorBidi"/>
                <w:b/>
                <w:bCs/>
                <w:sz w:val="20"/>
                <w:szCs w:val="20"/>
                <w:lang w:val="en-US"/>
              </w:rPr>
              <w:t>Improvement rate (%)</w:t>
            </w:r>
          </w:p>
        </w:tc>
        <w:tc>
          <w:tcPr>
            <w:tcW w:w="1052" w:type="pct"/>
            <w:vAlign w:val="center"/>
          </w:tcPr>
          <w:p w14:paraId="3D7F0537" w14:textId="77777777" w:rsidR="00774EA4" w:rsidRPr="00CB4BA6" w:rsidRDefault="00774EA4" w:rsidP="00774EA4">
            <w:pPr>
              <w:spacing w:line="276" w:lineRule="auto"/>
              <w:jc w:val="center"/>
              <w:rPr>
                <w:rFonts w:asciiTheme="majorBidi" w:hAnsiTheme="majorBidi" w:cstheme="majorBidi"/>
                <w:b/>
                <w:bCs/>
                <w:sz w:val="20"/>
                <w:szCs w:val="20"/>
                <w:lang w:val="en-US"/>
              </w:rPr>
            </w:pPr>
            <w:r w:rsidRPr="00CB4BA6">
              <w:rPr>
                <w:rFonts w:asciiTheme="majorBidi" w:hAnsiTheme="majorBidi" w:cstheme="majorBidi"/>
                <w:b/>
                <w:bCs/>
                <w:sz w:val="20"/>
                <w:szCs w:val="20"/>
                <w:lang w:val="en-US"/>
              </w:rPr>
              <w:t>59.01±17.28</w:t>
            </w:r>
          </w:p>
        </w:tc>
        <w:tc>
          <w:tcPr>
            <w:tcW w:w="612" w:type="pct"/>
            <w:vAlign w:val="center"/>
          </w:tcPr>
          <w:p w14:paraId="4CF7DBC8" w14:textId="77777777" w:rsidR="00774EA4" w:rsidRPr="00CB4BA6" w:rsidRDefault="00774EA4" w:rsidP="00774EA4">
            <w:pPr>
              <w:spacing w:line="276" w:lineRule="auto"/>
              <w:jc w:val="center"/>
              <w:rPr>
                <w:rFonts w:asciiTheme="majorBidi" w:hAnsiTheme="majorBidi" w:cstheme="majorBidi"/>
                <w:b/>
                <w:bCs/>
                <w:sz w:val="20"/>
                <w:szCs w:val="20"/>
                <w:lang w:val="en-US"/>
              </w:rPr>
            </w:pPr>
            <w:r w:rsidRPr="00CB4BA6">
              <w:rPr>
                <w:rFonts w:asciiTheme="majorBidi" w:hAnsiTheme="majorBidi" w:cstheme="majorBidi"/>
                <w:b/>
                <w:bCs/>
                <w:sz w:val="20"/>
                <w:szCs w:val="20"/>
                <w:lang w:val="en-US"/>
              </w:rPr>
              <w:t>25-90</w:t>
            </w:r>
          </w:p>
        </w:tc>
        <w:tc>
          <w:tcPr>
            <w:tcW w:w="1571" w:type="pct"/>
            <w:gridSpan w:val="2"/>
            <w:shd w:val="clear" w:color="auto" w:fill="BFBFBF" w:themeFill="background1" w:themeFillShade="BF"/>
            <w:vAlign w:val="center"/>
          </w:tcPr>
          <w:p w14:paraId="5BB76876" w14:textId="77777777" w:rsidR="00774EA4" w:rsidRPr="00CB4BA6" w:rsidRDefault="00774EA4" w:rsidP="00355BCC">
            <w:pPr>
              <w:jc w:val="center"/>
              <w:rPr>
                <w:rFonts w:asciiTheme="majorBidi" w:hAnsiTheme="majorBidi" w:cstheme="majorBidi"/>
                <w:b/>
                <w:bCs/>
                <w:sz w:val="20"/>
                <w:szCs w:val="20"/>
                <w:lang w:val="en-US"/>
              </w:rPr>
            </w:pPr>
          </w:p>
        </w:tc>
      </w:tr>
    </w:tbl>
    <w:p w14:paraId="021DC46F" w14:textId="035CDF67" w:rsidR="00C30649" w:rsidRPr="00CB4BA6" w:rsidRDefault="00774EA4" w:rsidP="00C30649">
      <w:pPr>
        <w:autoSpaceDE w:val="0"/>
        <w:autoSpaceDN w:val="0"/>
        <w:bidi/>
        <w:adjustRightInd w:val="0"/>
        <w:spacing w:after="0" w:line="240" w:lineRule="auto"/>
        <w:jc w:val="right"/>
        <w:rPr>
          <w:rFonts w:asciiTheme="majorBidi" w:hAnsiTheme="majorBidi" w:cstheme="majorBidi"/>
          <w:sz w:val="20"/>
          <w:szCs w:val="20"/>
        </w:rPr>
      </w:pPr>
      <w:r w:rsidRPr="00CB4BA6">
        <w:rPr>
          <w:rFonts w:asciiTheme="majorBidi" w:hAnsiTheme="majorBidi" w:cstheme="majorBidi"/>
          <w:sz w:val="20"/>
          <w:szCs w:val="20"/>
        </w:rPr>
        <w:t>VAS: Visual Analog Scale; SD: Standard Deviation; P: Probability</w:t>
      </w:r>
    </w:p>
    <w:p w14:paraId="20D1B128" w14:textId="77777777" w:rsidR="0020245D" w:rsidRPr="00774EA4" w:rsidRDefault="0020245D" w:rsidP="0020245D">
      <w:pPr>
        <w:autoSpaceDE w:val="0"/>
        <w:autoSpaceDN w:val="0"/>
        <w:bidi/>
        <w:adjustRightInd w:val="0"/>
        <w:spacing w:after="0" w:line="240" w:lineRule="auto"/>
        <w:jc w:val="right"/>
        <w:rPr>
          <w:rFonts w:asciiTheme="majorBidi" w:hAnsiTheme="majorBidi" w:cstheme="majorBidi"/>
          <w:sz w:val="24"/>
          <w:szCs w:val="24"/>
          <w:rtl/>
        </w:rPr>
      </w:pPr>
    </w:p>
    <w:p w14:paraId="31778C03" w14:textId="78B21414" w:rsidR="00774EA4" w:rsidRPr="00CB4BA6" w:rsidRDefault="00774EA4" w:rsidP="00774EA4">
      <w:pPr>
        <w:spacing w:line="276" w:lineRule="auto"/>
        <w:rPr>
          <w:rFonts w:asciiTheme="majorBidi" w:hAnsiTheme="majorBidi" w:cstheme="majorBidi"/>
          <w:b/>
          <w:bCs/>
          <w:sz w:val="20"/>
          <w:szCs w:val="20"/>
          <w:rtl/>
        </w:rPr>
      </w:pPr>
      <w:r w:rsidRPr="00CB4BA6">
        <w:rPr>
          <w:rFonts w:asciiTheme="majorBidi" w:hAnsiTheme="majorBidi" w:cstheme="majorBidi"/>
          <w:b/>
          <w:bCs/>
          <w:sz w:val="20"/>
          <w:szCs w:val="20"/>
        </w:rPr>
        <w:t>Table 3</w:t>
      </w:r>
      <w:r w:rsidR="0014039E" w:rsidRPr="00CB4BA6">
        <w:rPr>
          <w:rFonts w:asciiTheme="majorBidi" w:hAnsiTheme="majorBidi" w:cstheme="majorBidi"/>
          <w:b/>
          <w:bCs/>
          <w:sz w:val="20"/>
          <w:szCs w:val="20"/>
        </w:rPr>
        <w:t>:</w:t>
      </w:r>
      <w:r w:rsidRPr="00CB4BA6">
        <w:rPr>
          <w:rFonts w:asciiTheme="majorBidi" w:hAnsiTheme="majorBidi" w:cstheme="majorBidi"/>
          <w:b/>
          <w:bCs/>
          <w:sz w:val="20"/>
          <w:szCs w:val="20"/>
        </w:rPr>
        <w:t xml:space="preserve"> Differences in pre-</w:t>
      </w:r>
      <w:r w:rsidRPr="00CB4BA6">
        <w:rPr>
          <w:rFonts w:asciiTheme="majorBidi" w:hAnsiTheme="majorBidi" w:cstheme="majorBidi" w:hint="cs"/>
          <w:b/>
          <w:bCs/>
          <w:sz w:val="20"/>
          <w:szCs w:val="20"/>
          <w:rtl/>
        </w:rPr>
        <w:t xml:space="preserve"> </w:t>
      </w:r>
      <w:r w:rsidRPr="00CB4BA6">
        <w:rPr>
          <w:rFonts w:asciiTheme="majorBidi" w:hAnsiTheme="majorBidi" w:cstheme="majorBidi"/>
          <w:b/>
          <w:bCs/>
          <w:sz w:val="20"/>
          <w:szCs w:val="20"/>
        </w:rPr>
        <w:t>and</w:t>
      </w:r>
      <w:r w:rsidR="00645D7F" w:rsidRPr="00CB4BA6">
        <w:rPr>
          <w:rFonts w:asciiTheme="majorBidi" w:hAnsiTheme="majorBidi" w:cstheme="majorBidi"/>
          <w:b/>
          <w:bCs/>
          <w:sz w:val="20"/>
          <w:szCs w:val="20"/>
        </w:rPr>
        <w:t xml:space="preserve"> 1-year</w:t>
      </w:r>
      <w:r w:rsidRPr="00CB4BA6">
        <w:rPr>
          <w:rFonts w:asciiTheme="majorBidi" w:hAnsiTheme="majorBidi" w:cstheme="majorBidi"/>
          <w:b/>
          <w:bCs/>
          <w:sz w:val="20"/>
          <w:szCs w:val="20"/>
        </w:rPr>
        <w:t xml:space="preserve"> post-operative arm pain VAS scores  </w:t>
      </w:r>
      <w:r w:rsidRPr="00CB4BA6">
        <w:rPr>
          <w:rFonts w:asciiTheme="majorBidi" w:hAnsiTheme="majorBidi" w:cstheme="majorBidi" w:hint="cs"/>
          <w:b/>
          <w:bCs/>
          <w:sz w:val="20"/>
          <w:szCs w:val="20"/>
          <w:rtl/>
        </w:rPr>
        <w:t xml:space="preserve">                       </w:t>
      </w:r>
      <w:r w:rsidRPr="00CB4BA6">
        <w:rPr>
          <w:rFonts w:asciiTheme="majorBidi" w:hAnsiTheme="majorBidi" w:cstheme="majorBidi"/>
          <w:b/>
          <w:bCs/>
          <w:sz w:val="20"/>
          <w:szCs w:val="20"/>
        </w:rPr>
        <w:t xml:space="preserve"> </w:t>
      </w:r>
      <w:r w:rsidRPr="00CB4BA6">
        <w:rPr>
          <w:rFonts w:asciiTheme="majorBidi" w:hAnsiTheme="majorBidi" w:cstheme="majorBidi" w:hint="cs"/>
          <w:b/>
          <w:bCs/>
          <w:sz w:val="20"/>
          <w:szCs w:val="20"/>
          <w:rtl/>
        </w:rPr>
        <w:t xml:space="preserve">   </w:t>
      </w:r>
    </w:p>
    <w:tbl>
      <w:tblPr>
        <w:tblStyle w:val="TableGrid"/>
        <w:tblW w:w="5000" w:type="pct"/>
        <w:tblLook w:val="04A0" w:firstRow="1" w:lastRow="0" w:firstColumn="1" w:lastColumn="0" w:noHBand="0" w:noVBand="1"/>
      </w:tblPr>
      <w:tblGrid>
        <w:gridCol w:w="3125"/>
        <w:gridCol w:w="1754"/>
        <w:gridCol w:w="1692"/>
        <w:gridCol w:w="1683"/>
        <w:gridCol w:w="1096"/>
      </w:tblGrid>
      <w:tr w:rsidR="00774EA4" w:rsidRPr="00CB4BA6" w14:paraId="07EF1229" w14:textId="77777777" w:rsidTr="00355BCC">
        <w:tc>
          <w:tcPr>
            <w:tcW w:w="1671" w:type="pct"/>
            <w:vMerge w:val="restart"/>
            <w:shd w:val="clear" w:color="auto" w:fill="BFBFBF" w:themeFill="background1" w:themeFillShade="BF"/>
            <w:vAlign w:val="center"/>
          </w:tcPr>
          <w:p w14:paraId="52432FAC" w14:textId="77777777" w:rsidR="00774EA4" w:rsidRPr="00CB4BA6" w:rsidRDefault="00774EA4" w:rsidP="00774EA4">
            <w:pPr>
              <w:spacing w:line="276" w:lineRule="auto"/>
              <w:jc w:val="center"/>
              <w:rPr>
                <w:rFonts w:asciiTheme="majorBidi" w:hAnsiTheme="majorBidi" w:cstheme="majorBidi"/>
                <w:b/>
                <w:bCs/>
                <w:sz w:val="20"/>
                <w:szCs w:val="20"/>
                <w:lang w:val="en-US"/>
              </w:rPr>
            </w:pPr>
            <w:r w:rsidRPr="00CB4BA6">
              <w:rPr>
                <w:rFonts w:asciiTheme="majorBidi" w:hAnsiTheme="majorBidi" w:cstheme="majorBidi"/>
                <w:b/>
                <w:bCs/>
                <w:sz w:val="20"/>
                <w:szCs w:val="20"/>
                <w:lang w:val="en-US"/>
              </w:rPr>
              <w:t>No.=29*</w:t>
            </w:r>
          </w:p>
        </w:tc>
        <w:tc>
          <w:tcPr>
            <w:tcW w:w="1843" w:type="pct"/>
            <w:gridSpan w:val="2"/>
            <w:shd w:val="clear" w:color="auto" w:fill="BFBFBF" w:themeFill="background1" w:themeFillShade="BF"/>
            <w:vAlign w:val="center"/>
          </w:tcPr>
          <w:p w14:paraId="7688B87E" w14:textId="77777777" w:rsidR="00774EA4" w:rsidRPr="00CB4BA6" w:rsidRDefault="00774EA4" w:rsidP="00774EA4">
            <w:pPr>
              <w:spacing w:line="276" w:lineRule="auto"/>
              <w:jc w:val="center"/>
              <w:rPr>
                <w:rFonts w:asciiTheme="majorBidi" w:hAnsiTheme="majorBidi" w:cstheme="majorBidi"/>
                <w:b/>
                <w:bCs/>
                <w:sz w:val="20"/>
                <w:szCs w:val="20"/>
                <w:lang w:val="en-US"/>
              </w:rPr>
            </w:pPr>
            <w:r w:rsidRPr="00CB4BA6">
              <w:rPr>
                <w:rFonts w:asciiTheme="majorBidi" w:hAnsiTheme="majorBidi" w:cstheme="majorBidi"/>
                <w:b/>
                <w:bCs/>
                <w:sz w:val="20"/>
                <w:szCs w:val="20"/>
                <w:lang w:val="en-US"/>
              </w:rPr>
              <w:t>Arm pain VAS scores</w:t>
            </w:r>
          </w:p>
        </w:tc>
        <w:tc>
          <w:tcPr>
            <w:tcW w:w="900" w:type="pct"/>
            <w:vMerge w:val="restart"/>
            <w:shd w:val="clear" w:color="auto" w:fill="BFBFBF" w:themeFill="background1" w:themeFillShade="BF"/>
            <w:vAlign w:val="center"/>
          </w:tcPr>
          <w:p w14:paraId="761A9FE6" w14:textId="77777777" w:rsidR="00774EA4" w:rsidRPr="00CB4BA6" w:rsidRDefault="00774EA4" w:rsidP="00774EA4">
            <w:pPr>
              <w:spacing w:line="276" w:lineRule="auto"/>
              <w:jc w:val="center"/>
              <w:rPr>
                <w:rFonts w:asciiTheme="majorBidi" w:hAnsiTheme="majorBidi" w:cstheme="majorBidi"/>
                <w:b/>
                <w:bCs/>
                <w:sz w:val="20"/>
                <w:szCs w:val="20"/>
                <w:lang w:val="en-US"/>
              </w:rPr>
            </w:pPr>
            <w:r w:rsidRPr="00CB4BA6">
              <w:rPr>
                <w:rFonts w:asciiTheme="majorBidi" w:hAnsiTheme="majorBidi" w:cstheme="majorBidi"/>
                <w:b/>
                <w:bCs/>
                <w:sz w:val="20"/>
                <w:szCs w:val="20"/>
                <w:lang w:val="en-US"/>
              </w:rPr>
              <w:t>Paired t-test</w:t>
            </w:r>
          </w:p>
        </w:tc>
        <w:tc>
          <w:tcPr>
            <w:tcW w:w="586" w:type="pct"/>
            <w:vMerge w:val="restart"/>
            <w:shd w:val="clear" w:color="auto" w:fill="BFBFBF" w:themeFill="background1" w:themeFillShade="BF"/>
            <w:vAlign w:val="center"/>
          </w:tcPr>
          <w:p w14:paraId="76752A92" w14:textId="77777777" w:rsidR="00774EA4" w:rsidRPr="00CB4BA6" w:rsidRDefault="00774EA4" w:rsidP="00774EA4">
            <w:pPr>
              <w:spacing w:line="276" w:lineRule="auto"/>
              <w:jc w:val="center"/>
              <w:rPr>
                <w:rFonts w:asciiTheme="majorBidi" w:hAnsiTheme="majorBidi" w:cstheme="majorBidi"/>
                <w:b/>
                <w:bCs/>
                <w:sz w:val="20"/>
                <w:szCs w:val="20"/>
                <w:lang w:val="en-US"/>
              </w:rPr>
            </w:pPr>
            <w:r w:rsidRPr="00CB4BA6">
              <w:rPr>
                <w:rFonts w:asciiTheme="majorBidi" w:hAnsiTheme="majorBidi" w:cstheme="majorBidi"/>
                <w:b/>
                <w:bCs/>
                <w:sz w:val="20"/>
                <w:szCs w:val="20"/>
                <w:lang w:val="en-US"/>
              </w:rPr>
              <w:t>P</w:t>
            </w:r>
          </w:p>
        </w:tc>
      </w:tr>
      <w:tr w:rsidR="00774EA4" w:rsidRPr="00CB4BA6" w14:paraId="26899966" w14:textId="77777777" w:rsidTr="00355BCC">
        <w:tc>
          <w:tcPr>
            <w:tcW w:w="1671" w:type="pct"/>
            <w:vMerge/>
            <w:shd w:val="clear" w:color="auto" w:fill="BFBFBF" w:themeFill="background1" w:themeFillShade="BF"/>
            <w:vAlign w:val="center"/>
          </w:tcPr>
          <w:p w14:paraId="799870C1" w14:textId="77777777" w:rsidR="00774EA4" w:rsidRPr="00CB4BA6" w:rsidRDefault="00774EA4" w:rsidP="00355BCC">
            <w:pPr>
              <w:jc w:val="center"/>
              <w:rPr>
                <w:rFonts w:asciiTheme="majorBidi" w:hAnsiTheme="majorBidi" w:cstheme="majorBidi"/>
                <w:b/>
                <w:bCs/>
                <w:sz w:val="20"/>
                <w:szCs w:val="20"/>
                <w:lang w:val="en-US"/>
              </w:rPr>
            </w:pPr>
          </w:p>
        </w:tc>
        <w:tc>
          <w:tcPr>
            <w:tcW w:w="938" w:type="pct"/>
            <w:shd w:val="clear" w:color="auto" w:fill="BFBFBF" w:themeFill="background1" w:themeFillShade="BF"/>
            <w:vAlign w:val="center"/>
          </w:tcPr>
          <w:p w14:paraId="682A8F5A" w14:textId="77777777" w:rsidR="00774EA4" w:rsidRPr="00CB4BA6" w:rsidRDefault="00774EA4" w:rsidP="00774EA4">
            <w:pPr>
              <w:spacing w:line="276" w:lineRule="auto"/>
              <w:jc w:val="center"/>
              <w:rPr>
                <w:rFonts w:asciiTheme="majorBidi" w:hAnsiTheme="majorBidi" w:cstheme="majorBidi"/>
                <w:b/>
                <w:bCs/>
                <w:sz w:val="20"/>
                <w:szCs w:val="20"/>
                <w:lang w:val="en-US"/>
              </w:rPr>
            </w:pPr>
            <w:r w:rsidRPr="00CB4BA6">
              <w:rPr>
                <w:rFonts w:asciiTheme="majorBidi" w:hAnsiTheme="majorBidi" w:cstheme="majorBidi"/>
                <w:b/>
                <w:bCs/>
                <w:sz w:val="20"/>
                <w:szCs w:val="20"/>
                <w:lang w:val="en-US"/>
              </w:rPr>
              <w:t>Mean ±SD</w:t>
            </w:r>
          </w:p>
        </w:tc>
        <w:tc>
          <w:tcPr>
            <w:tcW w:w="905" w:type="pct"/>
            <w:shd w:val="clear" w:color="auto" w:fill="BFBFBF" w:themeFill="background1" w:themeFillShade="BF"/>
            <w:vAlign w:val="center"/>
          </w:tcPr>
          <w:p w14:paraId="43CA579F" w14:textId="77777777" w:rsidR="00774EA4" w:rsidRPr="00CB4BA6" w:rsidRDefault="00774EA4" w:rsidP="00774EA4">
            <w:pPr>
              <w:spacing w:line="276" w:lineRule="auto"/>
              <w:jc w:val="center"/>
              <w:rPr>
                <w:rFonts w:asciiTheme="majorBidi" w:hAnsiTheme="majorBidi" w:cstheme="majorBidi"/>
                <w:b/>
                <w:bCs/>
                <w:sz w:val="20"/>
                <w:szCs w:val="20"/>
                <w:lang w:val="en-US"/>
              </w:rPr>
            </w:pPr>
            <w:r w:rsidRPr="00CB4BA6">
              <w:rPr>
                <w:rFonts w:asciiTheme="majorBidi" w:hAnsiTheme="majorBidi" w:cstheme="majorBidi"/>
                <w:b/>
                <w:bCs/>
                <w:sz w:val="20"/>
                <w:szCs w:val="20"/>
                <w:lang w:val="en-US"/>
              </w:rPr>
              <w:t>Range</w:t>
            </w:r>
          </w:p>
        </w:tc>
        <w:tc>
          <w:tcPr>
            <w:tcW w:w="900" w:type="pct"/>
            <w:vMerge/>
            <w:shd w:val="clear" w:color="auto" w:fill="BFBFBF" w:themeFill="background1" w:themeFillShade="BF"/>
            <w:vAlign w:val="center"/>
          </w:tcPr>
          <w:p w14:paraId="44904621" w14:textId="77777777" w:rsidR="00774EA4" w:rsidRPr="00CB4BA6" w:rsidRDefault="00774EA4" w:rsidP="00355BCC">
            <w:pPr>
              <w:jc w:val="center"/>
              <w:rPr>
                <w:rFonts w:asciiTheme="majorBidi" w:hAnsiTheme="majorBidi" w:cstheme="majorBidi"/>
                <w:b/>
                <w:bCs/>
                <w:sz w:val="20"/>
                <w:szCs w:val="20"/>
                <w:lang w:val="en-US"/>
              </w:rPr>
            </w:pPr>
          </w:p>
        </w:tc>
        <w:tc>
          <w:tcPr>
            <w:tcW w:w="586" w:type="pct"/>
            <w:vMerge/>
            <w:shd w:val="clear" w:color="auto" w:fill="BFBFBF" w:themeFill="background1" w:themeFillShade="BF"/>
            <w:vAlign w:val="center"/>
          </w:tcPr>
          <w:p w14:paraId="6DDF31E2" w14:textId="77777777" w:rsidR="00774EA4" w:rsidRPr="00CB4BA6" w:rsidRDefault="00774EA4" w:rsidP="00355BCC">
            <w:pPr>
              <w:jc w:val="center"/>
              <w:rPr>
                <w:rFonts w:asciiTheme="majorBidi" w:hAnsiTheme="majorBidi" w:cstheme="majorBidi"/>
                <w:b/>
                <w:bCs/>
                <w:sz w:val="20"/>
                <w:szCs w:val="20"/>
                <w:lang w:val="en-US"/>
              </w:rPr>
            </w:pPr>
          </w:p>
        </w:tc>
      </w:tr>
      <w:tr w:rsidR="00774EA4" w:rsidRPr="00CB4BA6" w14:paraId="099ABDF3" w14:textId="77777777" w:rsidTr="00355BCC">
        <w:tc>
          <w:tcPr>
            <w:tcW w:w="1671" w:type="pct"/>
            <w:vAlign w:val="center"/>
          </w:tcPr>
          <w:p w14:paraId="07CE9FEC" w14:textId="77777777" w:rsidR="00774EA4" w:rsidRPr="00CB4BA6" w:rsidRDefault="00774EA4" w:rsidP="00774EA4">
            <w:pPr>
              <w:spacing w:line="276" w:lineRule="auto"/>
              <w:jc w:val="center"/>
              <w:rPr>
                <w:rFonts w:asciiTheme="majorBidi" w:hAnsiTheme="majorBidi" w:cstheme="majorBidi"/>
                <w:b/>
                <w:bCs/>
                <w:sz w:val="20"/>
                <w:szCs w:val="20"/>
                <w:lang w:val="en-US"/>
              </w:rPr>
            </w:pPr>
            <w:r w:rsidRPr="00CB4BA6">
              <w:rPr>
                <w:rFonts w:asciiTheme="majorBidi" w:hAnsiTheme="majorBidi" w:cstheme="majorBidi"/>
                <w:b/>
                <w:bCs/>
                <w:sz w:val="20"/>
                <w:szCs w:val="20"/>
                <w:lang w:val="en-US"/>
              </w:rPr>
              <w:t>Pre-operative</w:t>
            </w:r>
          </w:p>
        </w:tc>
        <w:tc>
          <w:tcPr>
            <w:tcW w:w="938" w:type="pct"/>
            <w:vAlign w:val="center"/>
          </w:tcPr>
          <w:p w14:paraId="1CD9C740" w14:textId="77777777" w:rsidR="00774EA4" w:rsidRPr="00CB4BA6" w:rsidRDefault="00774EA4" w:rsidP="00774EA4">
            <w:pPr>
              <w:spacing w:line="276" w:lineRule="auto"/>
              <w:jc w:val="center"/>
              <w:rPr>
                <w:rFonts w:asciiTheme="majorBidi" w:hAnsiTheme="majorBidi" w:cstheme="majorBidi"/>
                <w:b/>
                <w:bCs/>
                <w:sz w:val="20"/>
                <w:szCs w:val="20"/>
                <w:lang w:val="en-US"/>
              </w:rPr>
            </w:pPr>
            <w:r w:rsidRPr="00CB4BA6">
              <w:rPr>
                <w:rFonts w:asciiTheme="majorBidi" w:hAnsiTheme="majorBidi" w:cstheme="majorBidi"/>
                <w:b/>
                <w:bCs/>
                <w:sz w:val="20"/>
                <w:szCs w:val="20"/>
                <w:lang w:val="en-US"/>
              </w:rPr>
              <w:t>7.96±1.24</w:t>
            </w:r>
          </w:p>
        </w:tc>
        <w:tc>
          <w:tcPr>
            <w:tcW w:w="905" w:type="pct"/>
            <w:vAlign w:val="center"/>
          </w:tcPr>
          <w:p w14:paraId="69BDA3A9" w14:textId="77777777" w:rsidR="00774EA4" w:rsidRPr="00CB4BA6" w:rsidRDefault="00774EA4" w:rsidP="00774EA4">
            <w:pPr>
              <w:spacing w:line="276" w:lineRule="auto"/>
              <w:jc w:val="center"/>
              <w:rPr>
                <w:rFonts w:asciiTheme="majorBidi" w:hAnsiTheme="majorBidi" w:cstheme="majorBidi"/>
                <w:b/>
                <w:bCs/>
                <w:sz w:val="20"/>
                <w:szCs w:val="20"/>
                <w:lang w:val="en-US"/>
              </w:rPr>
            </w:pPr>
            <w:r w:rsidRPr="00CB4BA6">
              <w:rPr>
                <w:rFonts w:asciiTheme="majorBidi" w:hAnsiTheme="majorBidi" w:cstheme="majorBidi"/>
                <w:b/>
                <w:bCs/>
                <w:sz w:val="20"/>
                <w:szCs w:val="20"/>
                <w:lang w:val="en-US"/>
              </w:rPr>
              <w:t>6-10</w:t>
            </w:r>
          </w:p>
        </w:tc>
        <w:tc>
          <w:tcPr>
            <w:tcW w:w="900" w:type="pct"/>
            <w:vMerge w:val="restart"/>
            <w:vAlign w:val="center"/>
          </w:tcPr>
          <w:p w14:paraId="2B3C7A30" w14:textId="77777777" w:rsidR="00774EA4" w:rsidRPr="00CB4BA6" w:rsidRDefault="00774EA4" w:rsidP="00774EA4">
            <w:pPr>
              <w:spacing w:line="276" w:lineRule="auto"/>
              <w:jc w:val="center"/>
              <w:rPr>
                <w:rFonts w:asciiTheme="majorBidi" w:hAnsiTheme="majorBidi" w:cstheme="majorBidi"/>
                <w:b/>
                <w:bCs/>
                <w:sz w:val="20"/>
                <w:szCs w:val="20"/>
                <w:lang w:val="en-US"/>
              </w:rPr>
            </w:pPr>
            <w:r w:rsidRPr="00CB4BA6">
              <w:rPr>
                <w:rFonts w:asciiTheme="majorBidi" w:hAnsiTheme="majorBidi" w:cstheme="majorBidi"/>
                <w:b/>
                <w:bCs/>
                <w:sz w:val="20"/>
                <w:szCs w:val="20"/>
                <w:lang w:val="en-US"/>
              </w:rPr>
              <w:t>21.31</w:t>
            </w:r>
          </w:p>
        </w:tc>
        <w:tc>
          <w:tcPr>
            <w:tcW w:w="586" w:type="pct"/>
            <w:vMerge w:val="restart"/>
            <w:vAlign w:val="center"/>
          </w:tcPr>
          <w:p w14:paraId="4A285D93" w14:textId="77777777" w:rsidR="00774EA4" w:rsidRPr="00CB4BA6" w:rsidRDefault="00774EA4" w:rsidP="00774EA4">
            <w:pPr>
              <w:spacing w:line="276" w:lineRule="auto"/>
              <w:jc w:val="center"/>
              <w:rPr>
                <w:rFonts w:asciiTheme="majorBidi" w:hAnsiTheme="majorBidi" w:cstheme="majorBidi"/>
                <w:b/>
                <w:bCs/>
                <w:sz w:val="20"/>
                <w:szCs w:val="20"/>
                <w:lang w:val="en-US"/>
              </w:rPr>
            </w:pPr>
            <w:r w:rsidRPr="00CB4BA6">
              <w:rPr>
                <w:rFonts w:asciiTheme="majorBidi" w:hAnsiTheme="majorBidi" w:cstheme="majorBidi"/>
                <w:b/>
                <w:bCs/>
                <w:sz w:val="20"/>
                <w:szCs w:val="20"/>
                <w:lang w:val="en-US"/>
              </w:rPr>
              <w:t>&lt;0.001</w:t>
            </w:r>
          </w:p>
        </w:tc>
      </w:tr>
      <w:tr w:rsidR="00774EA4" w:rsidRPr="00CB4BA6" w14:paraId="12CD30AB" w14:textId="77777777" w:rsidTr="00355BCC">
        <w:tc>
          <w:tcPr>
            <w:tcW w:w="1671" w:type="pct"/>
            <w:vAlign w:val="center"/>
          </w:tcPr>
          <w:p w14:paraId="1075DC30" w14:textId="77777777" w:rsidR="00774EA4" w:rsidRPr="00CB4BA6" w:rsidRDefault="00774EA4" w:rsidP="00774EA4">
            <w:pPr>
              <w:spacing w:line="276" w:lineRule="auto"/>
              <w:jc w:val="center"/>
              <w:rPr>
                <w:rFonts w:asciiTheme="majorBidi" w:hAnsiTheme="majorBidi" w:cstheme="majorBidi"/>
                <w:b/>
                <w:bCs/>
                <w:sz w:val="20"/>
                <w:szCs w:val="20"/>
                <w:lang w:val="en-US"/>
              </w:rPr>
            </w:pPr>
            <w:r w:rsidRPr="00CB4BA6">
              <w:rPr>
                <w:rFonts w:asciiTheme="majorBidi" w:hAnsiTheme="majorBidi" w:cstheme="majorBidi"/>
                <w:b/>
                <w:bCs/>
                <w:sz w:val="20"/>
                <w:szCs w:val="20"/>
                <w:lang w:val="en-US"/>
              </w:rPr>
              <w:lastRenderedPageBreak/>
              <w:t>One-year post-operative</w:t>
            </w:r>
          </w:p>
        </w:tc>
        <w:tc>
          <w:tcPr>
            <w:tcW w:w="938" w:type="pct"/>
            <w:vAlign w:val="center"/>
          </w:tcPr>
          <w:p w14:paraId="148CC6CD" w14:textId="77777777" w:rsidR="00774EA4" w:rsidRPr="00CB4BA6" w:rsidRDefault="00774EA4" w:rsidP="00774EA4">
            <w:pPr>
              <w:spacing w:line="276" w:lineRule="auto"/>
              <w:jc w:val="center"/>
              <w:rPr>
                <w:rFonts w:asciiTheme="majorBidi" w:hAnsiTheme="majorBidi" w:cstheme="majorBidi"/>
                <w:b/>
                <w:bCs/>
                <w:sz w:val="20"/>
                <w:szCs w:val="20"/>
                <w:lang w:val="en-US"/>
              </w:rPr>
            </w:pPr>
            <w:r w:rsidRPr="00CB4BA6">
              <w:rPr>
                <w:rFonts w:asciiTheme="majorBidi" w:hAnsiTheme="majorBidi" w:cstheme="majorBidi"/>
                <w:b/>
                <w:bCs/>
                <w:sz w:val="20"/>
                <w:szCs w:val="20"/>
                <w:lang w:val="en-US"/>
              </w:rPr>
              <w:t>2.21±1.01</w:t>
            </w:r>
          </w:p>
        </w:tc>
        <w:tc>
          <w:tcPr>
            <w:tcW w:w="905" w:type="pct"/>
            <w:vAlign w:val="center"/>
          </w:tcPr>
          <w:p w14:paraId="77B36423" w14:textId="77777777" w:rsidR="00774EA4" w:rsidRPr="00CB4BA6" w:rsidRDefault="00774EA4" w:rsidP="00774EA4">
            <w:pPr>
              <w:spacing w:line="276" w:lineRule="auto"/>
              <w:jc w:val="center"/>
              <w:rPr>
                <w:rFonts w:asciiTheme="majorBidi" w:hAnsiTheme="majorBidi" w:cstheme="majorBidi"/>
                <w:b/>
                <w:bCs/>
                <w:sz w:val="20"/>
                <w:szCs w:val="20"/>
                <w:lang w:val="en-US"/>
              </w:rPr>
            </w:pPr>
            <w:r w:rsidRPr="00CB4BA6">
              <w:rPr>
                <w:rFonts w:asciiTheme="majorBidi" w:hAnsiTheme="majorBidi" w:cstheme="majorBidi"/>
                <w:b/>
                <w:bCs/>
                <w:sz w:val="20"/>
                <w:szCs w:val="20"/>
                <w:lang w:val="en-US"/>
              </w:rPr>
              <w:t>1-4</w:t>
            </w:r>
          </w:p>
        </w:tc>
        <w:tc>
          <w:tcPr>
            <w:tcW w:w="900" w:type="pct"/>
            <w:vMerge/>
            <w:vAlign w:val="center"/>
          </w:tcPr>
          <w:p w14:paraId="38157F5D" w14:textId="77777777" w:rsidR="00774EA4" w:rsidRPr="00CB4BA6" w:rsidRDefault="00774EA4" w:rsidP="00355BCC">
            <w:pPr>
              <w:jc w:val="center"/>
              <w:rPr>
                <w:rFonts w:asciiTheme="majorBidi" w:hAnsiTheme="majorBidi" w:cstheme="majorBidi"/>
                <w:b/>
                <w:bCs/>
                <w:sz w:val="20"/>
                <w:szCs w:val="20"/>
                <w:lang w:val="en-US"/>
              </w:rPr>
            </w:pPr>
          </w:p>
        </w:tc>
        <w:tc>
          <w:tcPr>
            <w:tcW w:w="586" w:type="pct"/>
            <w:vMerge/>
            <w:vAlign w:val="center"/>
          </w:tcPr>
          <w:p w14:paraId="2BC3D4F3" w14:textId="77777777" w:rsidR="00774EA4" w:rsidRPr="00CB4BA6" w:rsidRDefault="00774EA4" w:rsidP="00355BCC">
            <w:pPr>
              <w:jc w:val="center"/>
              <w:rPr>
                <w:rFonts w:asciiTheme="majorBidi" w:hAnsiTheme="majorBidi" w:cstheme="majorBidi"/>
                <w:b/>
                <w:bCs/>
                <w:sz w:val="20"/>
                <w:szCs w:val="20"/>
                <w:lang w:val="en-US"/>
              </w:rPr>
            </w:pPr>
          </w:p>
        </w:tc>
      </w:tr>
      <w:tr w:rsidR="00774EA4" w:rsidRPr="00CB4BA6" w14:paraId="23B9F310" w14:textId="77777777" w:rsidTr="00355BCC">
        <w:tc>
          <w:tcPr>
            <w:tcW w:w="1671" w:type="pct"/>
            <w:vAlign w:val="center"/>
          </w:tcPr>
          <w:p w14:paraId="64D0C10C" w14:textId="77777777" w:rsidR="00774EA4" w:rsidRPr="00CB4BA6" w:rsidRDefault="00774EA4" w:rsidP="00774EA4">
            <w:pPr>
              <w:spacing w:line="276" w:lineRule="auto"/>
              <w:jc w:val="center"/>
              <w:rPr>
                <w:rFonts w:asciiTheme="majorBidi" w:hAnsiTheme="majorBidi" w:cstheme="majorBidi"/>
                <w:b/>
                <w:bCs/>
                <w:sz w:val="20"/>
                <w:szCs w:val="20"/>
                <w:lang w:val="en-US"/>
              </w:rPr>
            </w:pPr>
            <w:r w:rsidRPr="00CB4BA6">
              <w:rPr>
                <w:rFonts w:asciiTheme="majorBidi" w:hAnsiTheme="majorBidi" w:cstheme="majorBidi"/>
                <w:b/>
                <w:bCs/>
                <w:sz w:val="20"/>
                <w:szCs w:val="20"/>
                <w:lang w:val="en-US"/>
              </w:rPr>
              <w:t>Improvement rate (%)</w:t>
            </w:r>
          </w:p>
        </w:tc>
        <w:tc>
          <w:tcPr>
            <w:tcW w:w="938" w:type="pct"/>
            <w:vAlign w:val="center"/>
          </w:tcPr>
          <w:p w14:paraId="378ADAA7" w14:textId="77777777" w:rsidR="00774EA4" w:rsidRPr="00CB4BA6" w:rsidRDefault="00774EA4" w:rsidP="00774EA4">
            <w:pPr>
              <w:spacing w:line="276" w:lineRule="auto"/>
              <w:jc w:val="center"/>
              <w:rPr>
                <w:rFonts w:asciiTheme="majorBidi" w:hAnsiTheme="majorBidi" w:cstheme="majorBidi"/>
                <w:b/>
                <w:bCs/>
                <w:sz w:val="20"/>
                <w:szCs w:val="20"/>
                <w:lang w:val="en-US"/>
              </w:rPr>
            </w:pPr>
            <w:r w:rsidRPr="00CB4BA6">
              <w:rPr>
                <w:rFonts w:asciiTheme="majorBidi" w:hAnsiTheme="majorBidi" w:cstheme="majorBidi"/>
                <w:b/>
                <w:bCs/>
                <w:sz w:val="20"/>
                <w:szCs w:val="20"/>
                <w:lang w:val="en-US"/>
              </w:rPr>
              <w:t>71.87±13.79</w:t>
            </w:r>
          </w:p>
        </w:tc>
        <w:tc>
          <w:tcPr>
            <w:tcW w:w="905" w:type="pct"/>
            <w:vAlign w:val="center"/>
          </w:tcPr>
          <w:p w14:paraId="64F304B8" w14:textId="77777777" w:rsidR="00774EA4" w:rsidRPr="00CB4BA6" w:rsidRDefault="00774EA4" w:rsidP="00774EA4">
            <w:pPr>
              <w:spacing w:line="276" w:lineRule="auto"/>
              <w:jc w:val="center"/>
              <w:rPr>
                <w:rFonts w:asciiTheme="majorBidi" w:hAnsiTheme="majorBidi" w:cstheme="majorBidi"/>
                <w:b/>
                <w:bCs/>
                <w:sz w:val="20"/>
                <w:szCs w:val="20"/>
                <w:lang w:val="en-US"/>
              </w:rPr>
            </w:pPr>
            <w:r w:rsidRPr="00CB4BA6">
              <w:rPr>
                <w:rFonts w:asciiTheme="majorBidi" w:hAnsiTheme="majorBidi" w:cstheme="majorBidi"/>
                <w:b/>
                <w:bCs/>
                <w:sz w:val="20"/>
                <w:szCs w:val="20"/>
                <w:lang w:val="en-US"/>
              </w:rPr>
              <w:t>33.33-88.89</w:t>
            </w:r>
          </w:p>
        </w:tc>
        <w:tc>
          <w:tcPr>
            <w:tcW w:w="1486" w:type="pct"/>
            <w:gridSpan w:val="2"/>
            <w:vAlign w:val="center"/>
          </w:tcPr>
          <w:p w14:paraId="5A08EEB1" w14:textId="77777777" w:rsidR="00774EA4" w:rsidRPr="00CB4BA6" w:rsidRDefault="00774EA4" w:rsidP="00355BCC">
            <w:pPr>
              <w:jc w:val="center"/>
              <w:rPr>
                <w:rFonts w:asciiTheme="majorBidi" w:hAnsiTheme="majorBidi" w:cstheme="majorBidi"/>
                <w:b/>
                <w:bCs/>
                <w:sz w:val="20"/>
                <w:szCs w:val="20"/>
                <w:lang w:val="en-US"/>
              </w:rPr>
            </w:pPr>
          </w:p>
        </w:tc>
      </w:tr>
    </w:tbl>
    <w:p w14:paraId="2FAE82D5" w14:textId="77777777" w:rsidR="00774EA4" w:rsidRPr="00CB4BA6" w:rsidRDefault="00774EA4" w:rsidP="00774EA4">
      <w:pPr>
        <w:autoSpaceDE w:val="0"/>
        <w:autoSpaceDN w:val="0"/>
        <w:bidi/>
        <w:adjustRightInd w:val="0"/>
        <w:spacing w:after="0" w:line="240" w:lineRule="auto"/>
        <w:jc w:val="right"/>
        <w:rPr>
          <w:rFonts w:asciiTheme="majorBidi" w:hAnsiTheme="majorBidi" w:cstheme="majorBidi"/>
          <w:sz w:val="20"/>
          <w:szCs w:val="20"/>
        </w:rPr>
      </w:pPr>
      <w:r w:rsidRPr="00CB4BA6">
        <w:rPr>
          <w:rFonts w:asciiTheme="majorBidi" w:hAnsiTheme="majorBidi" w:cstheme="majorBidi"/>
          <w:sz w:val="20"/>
          <w:szCs w:val="20"/>
        </w:rPr>
        <w:t>*10 patients had bilateral arm pain</w:t>
      </w:r>
    </w:p>
    <w:p w14:paraId="7426D0D3" w14:textId="662A6840" w:rsidR="0020245D" w:rsidRPr="00CB4BA6" w:rsidRDefault="00774EA4" w:rsidP="008372F9">
      <w:pPr>
        <w:autoSpaceDE w:val="0"/>
        <w:autoSpaceDN w:val="0"/>
        <w:bidi/>
        <w:adjustRightInd w:val="0"/>
        <w:spacing w:after="0" w:line="240" w:lineRule="auto"/>
        <w:jc w:val="right"/>
        <w:rPr>
          <w:rFonts w:asciiTheme="majorBidi" w:hAnsiTheme="majorBidi" w:cstheme="majorBidi"/>
          <w:sz w:val="20"/>
          <w:szCs w:val="20"/>
        </w:rPr>
      </w:pPr>
      <w:r w:rsidRPr="00CB4BA6">
        <w:rPr>
          <w:rFonts w:asciiTheme="majorBidi" w:hAnsiTheme="majorBidi" w:cstheme="majorBidi"/>
          <w:sz w:val="20"/>
          <w:szCs w:val="20"/>
        </w:rPr>
        <w:t>VAS: Visual Analog Scale; SD: Standard Deviation; P: Probability</w:t>
      </w:r>
    </w:p>
    <w:p w14:paraId="03EE5245" w14:textId="77777777" w:rsidR="00046FB1" w:rsidRPr="008372F9" w:rsidRDefault="00046FB1" w:rsidP="00046FB1">
      <w:pPr>
        <w:autoSpaceDE w:val="0"/>
        <w:autoSpaceDN w:val="0"/>
        <w:bidi/>
        <w:adjustRightInd w:val="0"/>
        <w:spacing w:after="0" w:line="240" w:lineRule="auto"/>
        <w:jc w:val="right"/>
        <w:rPr>
          <w:rFonts w:cstheme="minorHAnsi"/>
          <w:sz w:val="24"/>
          <w:szCs w:val="24"/>
          <w:rtl/>
        </w:rPr>
      </w:pPr>
    </w:p>
    <w:p w14:paraId="3C6ABEE7" w14:textId="232E7E21" w:rsidR="00046FB1" w:rsidRDefault="00046FB1" w:rsidP="00046FB1">
      <w:pPr>
        <w:autoSpaceDE w:val="0"/>
        <w:autoSpaceDN w:val="0"/>
        <w:bidi/>
        <w:adjustRightInd w:val="0"/>
        <w:spacing w:after="0" w:line="240" w:lineRule="auto"/>
        <w:jc w:val="right"/>
        <w:rPr>
          <w:rFonts w:asciiTheme="majorBidi" w:hAnsiTheme="majorBidi" w:cstheme="majorBidi"/>
          <w:sz w:val="24"/>
          <w:szCs w:val="24"/>
        </w:rPr>
      </w:pPr>
      <w:r w:rsidRPr="00C444F1">
        <w:rPr>
          <w:rFonts w:ascii="Times New Roman" w:eastAsia="Times New Roman" w:hAnsi="Times New Roman" w:cs="Times New Roman"/>
          <w:b/>
          <w:bCs/>
          <w:noProof/>
          <w:color w:val="FF0000"/>
          <w:sz w:val="24"/>
          <w:szCs w:val="24"/>
          <w:rtl/>
        </w:rPr>
        <w:drawing>
          <wp:inline distT="0" distB="0" distL="0" distR="0" wp14:anchorId="29FA729D" wp14:editId="125D7A89">
            <wp:extent cx="2426504" cy="24460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6504" cy="2446020"/>
                    </a:xfrm>
                    <a:prstGeom prst="rect">
                      <a:avLst/>
                    </a:prstGeom>
                    <a:noFill/>
                    <a:ln>
                      <a:noFill/>
                    </a:ln>
                  </pic:spPr>
                </pic:pic>
              </a:graphicData>
            </a:graphic>
          </wp:inline>
        </w:drawing>
      </w:r>
      <w:r w:rsidR="0020245D">
        <w:rPr>
          <w:rFonts w:asciiTheme="majorBidi" w:hAnsiTheme="majorBidi" w:cstheme="majorBidi" w:hint="cs"/>
          <w:sz w:val="24"/>
          <w:szCs w:val="24"/>
          <w:rtl/>
        </w:rPr>
        <w:t xml:space="preserve">  </w:t>
      </w:r>
      <w:r>
        <w:rPr>
          <w:rFonts w:asciiTheme="majorBidi" w:hAnsiTheme="majorBidi" w:cstheme="majorBidi"/>
          <w:sz w:val="24"/>
          <w:szCs w:val="24"/>
        </w:rPr>
        <w:t xml:space="preserve"> </w:t>
      </w:r>
      <w:r w:rsidRPr="00C444F1">
        <w:rPr>
          <w:rFonts w:ascii="Times New Roman" w:eastAsia="Times New Roman" w:hAnsi="Times New Roman" w:cs="Times New Roman"/>
          <w:b/>
          <w:bCs/>
          <w:noProof/>
          <w:color w:val="FF0000"/>
          <w:sz w:val="24"/>
          <w:szCs w:val="24"/>
          <w:rtl/>
        </w:rPr>
        <w:drawing>
          <wp:inline distT="0" distB="0" distL="0" distR="0" wp14:anchorId="13C94368" wp14:editId="3E1E7291">
            <wp:extent cx="2605751" cy="2455545"/>
            <wp:effectExtent l="0" t="0" r="444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5751" cy="2455545"/>
                    </a:xfrm>
                    <a:prstGeom prst="rect">
                      <a:avLst/>
                    </a:prstGeom>
                    <a:noFill/>
                    <a:ln>
                      <a:noFill/>
                    </a:ln>
                  </pic:spPr>
                </pic:pic>
              </a:graphicData>
            </a:graphic>
          </wp:inline>
        </w:drawing>
      </w:r>
      <w:r>
        <w:rPr>
          <w:rFonts w:asciiTheme="majorBidi" w:hAnsiTheme="majorBidi" w:cstheme="majorBidi"/>
          <w:sz w:val="24"/>
          <w:szCs w:val="24"/>
        </w:rPr>
        <w:t xml:space="preserve">        </w:t>
      </w:r>
    </w:p>
    <w:p w14:paraId="12B30AFD" w14:textId="0718DD0A" w:rsidR="00003C3B" w:rsidRPr="00046FB1" w:rsidRDefault="00003C3B" w:rsidP="00046FB1">
      <w:pPr>
        <w:autoSpaceDE w:val="0"/>
        <w:autoSpaceDN w:val="0"/>
        <w:bidi/>
        <w:adjustRightInd w:val="0"/>
        <w:spacing w:after="0" w:line="240" w:lineRule="auto"/>
        <w:jc w:val="right"/>
        <w:rPr>
          <w:rFonts w:asciiTheme="majorBidi" w:hAnsiTheme="majorBidi" w:cstheme="majorBidi"/>
          <w:sz w:val="24"/>
          <w:szCs w:val="24"/>
        </w:rPr>
      </w:pPr>
    </w:p>
    <w:p w14:paraId="03D564EB" w14:textId="1A3C6C9C" w:rsidR="0020245D" w:rsidRPr="00CB4BA6" w:rsidRDefault="0020245D" w:rsidP="0020245D">
      <w:pPr>
        <w:autoSpaceDE w:val="0"/>
        <w:autoSpaceDN w:val="0"/>
        <w:bidi/>
        <w:adjustRightInd w:val="0"/>
        <w:spacing w:after="0" w:line="240" w:lineRule="auto"/>
        <w:jc w:val="center"/>
        <w:rPr>
          <w:rFonts w:asciiTheme="majorBidi" w:hAnsiTheme="majorBidi" w:cstheme="majorBidi"/>
          <w:sz w:val="20"/>
          <w:szCs w:val="20"/>
        </w:rPr>
      </w:pPr>
      <w:bookmarkStart w:id="10" w:name="_Hlk43981798"/>
      <w:r w:rsidRPr="00CB4BA6">
        <w:rPr>
          <w:rFonts w:asciiTheme="majorBidi" w:hAnsiTheme="majorBidi" w:cstheme="majorBidi"/>
          <w:b/>
          <w:bCs/>
          <w:sz w:val="20"/>
          <w:szCs w:val="20"/>
        </w:rPr>
        <w:t xml:space="preserve">Figure </w:t>
      </w:r>
      <w:bookmarkEnd w:id="10"/>
      <w:r w:rsidR="00046FB1" w:rsidRPr="00CB4BA6">
        <w:rPr>
          <w:rFonts w:asciiTheme="majorBidi" w:hAnsiTheme="majorBidi" w:cstheme="majorBidi"/>
          <w:b/>
          <w:bCs/>
          <w:sz w:val="20"/>
          <w:szCs w:val="20"/>
        </w:rPr>
        <w:t>1:</w:t>
      </w:r>
      <w:r w:rsidR="00B72E8D" w:rsidRPr="00CB4BA6">
        <w:rPr>
          <w:rFonts w:asciiTheme="majorBidi" w:hAnsiTheme="majorBidi" w:cstheme="majorBidi"/>
          <w:b/>
          <w:bCs/>
          <w:sz w:val="20"/>
          <w:szCs w:val="20"/>
        </w:rPr>
        <w:t xml:space="preserve"> </w:t>
      </w:r>
      <w:r w:rsidRPr="00CB4BA6">
        <w:rPr>
          <w:rFonts w:asciiTheme="majorBidi" w:hAnsiTheme="majorBidi" w:cstheme="majorBidi"/>
          <w:b/>
          <w:bCs/>
          <w:sz w:val="20"/>
          <w:szCs w:val="20"/>
        </w:rPr>
        <w:t>Comparison of pre and 1-year post-operative neck pain VAS scores (A) and arm pain VAS scores (B</w:t>
      </w:r>
      <w:r w:rsidRPr="00CB4BA6">
        <w:rPr>
          <w:rFonts w:asciiTheme="majorBidi" w:hAnsiTheme="majorBidi" w:cstheme="majorBidi"/>
          <w:sz w:val="20"/>
          <w:szCs w:val="20"/>
        </w:rPr>
        <w:t>)</w:t>
      </w:r>
    </w:p>
    <w:p w14:paraId="47CC5DDD" w14:textId="5FE47DC1" w:rsidR="00A62541" w:rsidRPr="00CB4BA6" w:rsidRDefault="0020245D" w:rsidP="000E0618">
      <w:pPr>
        <w:autoSpaceDE w:val="0"/>
        <w:autoSpaceDN w:val="0"/>
        <w:bidi/>
        <w:adjustRightInd w:val="0"/>
        <w:spacing w:after="0" w:line="240" w:lineRule="auto"/>
        <w:jc w:val="center"/>
        <w:rPr>
          <w:rFonts w:asciiTheme="majorBidi" w:hAnsiTheme="majorBidi" w:cstheme="majorBidi"/>
          <w:sz w:val="20"/>
          <w:szCs w:val="20"/>
        </w:rPr>
      </w:pPr>
      <w:r w:rsidRPr="00CB4BA6">
        <w:rPr>
          <w:rFonts w:asciiTheme="majorBidi" w:hAnsiTheme="majorBidi" w:cstheme="majorBidi"/>
          <w:sz w:val="20"/>
          <w:szCs w:val="20"/>
        </w:rPr>
        <w:t>VAS: Visual Analog Scale</w:t>
      </w:r>
    </w:p>
    <w:p w14:paraId="52353430" w14:textId="77777777" w:rsidR="000E0618" w:rsidRPr="0020245D" w:rsidRDefault="000E0618" w:rsidP="000E0618">
      <w:pPr>
        <w:autoSpaceDE w:val="0"/>
        <w:autoSpaceDN w:val="0"/>
        <w:bidi/>
        <w:adjustRightInd w:val="0"/>
        <w:spacing w:after="0" w:line="240" w:lineRule="auto"/>
        <w:jc w:val="center"/>
        <w:rPr>
          <w:rFonts w:eastAsia="Times New Roman" w:cstheme="minorHAnsi"/>
          <w:color w:val="231F20"/>
          <w:sz w:val="24"/>
          <w:szCs w:val="24"/>
        </w:rPr>
      </w:pPr>
    </w:p>
    <w:p w14:paraId="18E377FC" w14:textId="052143B4" w:rsidR="00CB4BA6" w:rsidRDefault="004057D4" w:rsidP="00CB4BA6">
      <w:pPr>
        <w:autoSpaceDE w:val="0"/>
        <w:autoSpaceDN w:val="0"/>
        <w:bidi/>
        <w:adjustRightInd w:val="0"/>
        <w:spacing w:after="0" w:line="240" w:lineRule="auto"/>
        <w:jc w:val="both"/>
        <w:rPr>
          <w:rFonts w:ascii="Times New Roman" w:eastAsia="Times New Roman" w:hAnsi="Times New Roman" w:cs="Times New Roman"/>
          <w:color w:val="231F20"/>
          <w:sz w:val="24"/>
          <w:szCs w:val="24"/>
        </w:rPr>
      </w:pPr>
      <w:r w:rsidRPr="004057D4">
        <w:rPr>
          <w:rFonts w:ascii="Times New Roman" w:eastAsia="Times New Roman" w:hAnsi="Times New Roman" w:cs="Times New Roman"/>
          <w:color w:val="231F20"/>
          <w:sz w:val="24"/>
          <w:szCs w:val="24"/>
        </w:rPr>
        <w:t xml:space="preserve">Table 4, shows the clinical outcomes according to the Odom clinical outcome scoring system and the patient satisfaction index recorded at 1-year post-op.  </w:t>
      </w:r>
      <w:r w:rsidR="00C30649">
        <w:rPr>
          <w:rFonts w:ascii="Times New Roman" w:eastAsia="Times New Roman" w:hAnsi="Times New Roman" w:cs="Times New Roman"/>
          <w:color w:val="231F20"/>
          <w:sz w:val="24"/>
          <w:szCs w:val="24"/>
        </w:rPr>
        <w:t xml:space="preserve">                                                                </w:t>
      </w:r>
    </w:p>
    <w:p w14:paraId="5910F02B" w14:textId="69AC7A7A" w:rsidR="004057D4" w:rsidRPr="00CB4BA6" w:rsidRDefault="004057D4" w:rsidP="00CB4BA6">
      <w:pPr>
        <w:autoSpaceDE w:val="0"/>
        <w:autoSpaceDN w:val="0"/>
        <w:bidi/>
        <w:adjustRightInd w:val="0"/>
        <w:spacing w:after="0" w:line="240" w:lineRule="auto"/>
        <w:jc w:val="both"/>
        <w:rPr>
          <w:rFonts w:ascii="Times New Roman" w:eastAsia="Times New Roman" w:hAnsi="Times New Roman" w:cs="Times New Roman"/>
          <w:color w:val="231F20"/>
          <w:sz w:val="24"/>
          <w:szCs w:val="24"/>
        </w:rPr>
      </w:pPr>
      <w:r w:rsidRPr="004057D4">
        <w:rPr>
          <w:rFonts w:ascii="Times New Roman" w:eastAsia="Times New Roman" w:hAnsi="Times New Roman" w:cs="Times New Roman"/>
          <w:color w:val="231F20"/>
          <w:sz w:val="24"/>
          <w:szCs w:val="24"/>
        </w:rPr>
        <w:t xml:space="preserve">                                                                    </w:t>
      </w:r>
    </w:p>
    <w:p w14:paraId="027BD8DC" w14:textId="7EA34813" w:rsidR="0020245D" w:rsidRPr="00CB4BA6" w:rsidRDefault="0020245D" w:rsidP="00A62541">
      <w:pPr>
        <w:spacing w:line="276" w:lineRule="auto"/>
        <w:rPr>
          <w:rFonts w:asciiTheme="majorBidi" w:hAnsiTheme="majorBidi" w:cstheme="majorBidi"/>
          <w:b/>
          <w:bCs/>
          <w:sz w:val="20"/>
          <w:szCs w:val="20"/>
        </w:rPr>
      </w:pPr>
      <w:r w:rsidRPr="00CB4BA6">
        <w:rPr>
          <w:rFonts w:asciiTheme="majorBidi" w:hAnsiTheme="majorBidi" w:cstheme="majorBidi"/>
          <w:b/>
          <w:bCs/>
          <w:sz w:val="20"/>
          <w:szCs w:val="20"/>
        </w:rPr>
        <w:t>Table 4</w:t>
      </w:r>
      <w:r w:rsidR="005B1271" w:rsidRPr="00CB4BA6">
        <w:rPr>
          <w:rFonts w:asciiTheme="majorBidi" w:hAnsiTheme="majorBidi" w:cstheme="majorBidi"/>
          <w:b/>
          <w:bCs/>
          <w:sz w:val="20"/>
          <w:szCs w:val="20"/>
        </w:rPr>
        <w:t>:</w:t>
      </w:r>
      <w:r w:rsidRPr="00CB4BA6">
        <w:rPr>
          <w:rFonts w:asciiTheme="majorBidi" w:hAnsiTheme="majorBidi" w:cstheme="majorBidi"/>
          <w:b/>
          <w:bCs/>
          <w:sz w:val="20"/>
          <w:szCs w:val="20"/>
        </w:rPr>
        <w:t xml:space="preserve"> 1-year post-operative clinical outcomes</w:t>
      </w:r>
    </w:p>
    <w:tbl>
      <w:tblPr>
        <w:tblStyle w:val="TableGrid"/>
        <w:tblW w:w="5000" w:type="pct"/>
        <w:tblLook w:val="04A0" w:firstRow="1" w:lastRow="0" w:firstColumn="1" w:lastColumn="0" w:noHBand="0" w:noVBand="1"/>
      </w:tblPr>
      <w:tblGrid>
        <w:gridCol w:w="2520"/>
        <w:gridCol w:w="5555"/>
        <w:gridCol w:w="511"/>
        <w:gridCol w:w="764"/>
      </w:tblGrid>
      <w:tr w:rsidR="0020245D" w:rsidRPr="00CB4BA6" w14:paraId="6778831E" w14:textId="77777777" w:rsidTr="00355BCC">
        <w:tc>
          <w:tcPr>
            <w:tcW w:w="4323" w:type="pct"/>
            <w:gridSpan w:val="2"/>
            <w:vAlign w:val="center"/>
          </w:tcPr>
          <w:p w14:paraId="643B347B" w14:textId="77777777" w:rsidR="0020245D" w:rsidRPr="00CB4BA6" w:rsidRDefault="0020245D" w:rsidP="00A62541">
            <w:pPr>
              <w:spacing w:line="276" w:lineRule="auto"/>
              <w:jc w:val="center"/>
              <w:rPr>
                <w:rFonts w:asciiTheme="majorBidi" w:hAnsiTheme="majorBidi" w:cstheme="majorBidi"/>
                <w:b/>
                <w:bCs/>
                <w:sz w:val="20"/>
                <w:szCs w:val="20"/>
                <w:lang w:val="en-US"/>
              </w:rPr>
            </w:pPr>
            <w:r w:rsidRPr="00CB4BA6">
              <w:rPr>
                <w:rFonts w:asciiTheme="majorBidi" w:hAnsiTheme="majorBidi" w:cstheme="majorBidi"/>
                <w:b/>
                <w:bCs/>
                <w:sz w:val="20"/>
                <w:szCs w:val="20"/>
                <w:lang w:val="en-US"/>
              </w:rPr>
              <w:t>Total number=19</w:t>
            </w:r>
          </w:p>
        </w:tc>
        <w:tc>
          <w:tcPr>
            <w:tcW w:w="273" w:type="pct"/>
            <w:vAlign w:val="center"/>
          </w:tcPr>
          <w:p w14:paraId="4E59343E" w14:textId="598DB56D" w:rsidR="0020245D" w:rsidRPr="00CB4BA6" w:rsidRDefault="0020245D" w:rsidP="00A62541">
            <w:pPr>
              <w:spacing w:line="276" w:lineRule="auto"/>
              <w:jc w:val="center"/>
              <w:rPr>
                <w:rFonts w:asciiTheme="majorBidi" w:hAnsiTheme="majorBidi" w:cstheme="majorBidi"/>
                <w:b/>
                <w:bCs/>
                <w:sz w:val="20"/>
                <w:szCs w:val="20"/>
                <w:lang w:val="en-US"/>
              </w:rPr>
            </w:pPr>
            <w:r w:rsidRPr="00CB4BA6">
              <w:rPr>
                <w:rFonts w:asciiTheme="majorBidi" w:hAnsiTheme="majorBidi" w:cstheme="majorBidi"/>
                <w:b/>
                <w:bCs/>
                <w:sz w:val="20"/>
                <w:szCs w:val="20"/>
                <w:lang w:val="en-US"/>
              </w:rPr>
              <w:t>No</w:t>
            </w:r>
            <w:r w:rsidR="00C43AA9" w:rsidRPr="00CB4BA6">
              <w:rPr>
                <w:rFonts w:asciiTheme="majorBidi" w:hAnsiTheme="majorBidi" w:cstheme="majorBidi"/>
                <w:b/>
                <w:bCs/>
                <w:sz w:val="20"/>
                <w:szCs w:val="20"/>
                <w:lang w:val="en-US"/>
              </w:rPr>
              <w:t>.</w:t>
            </w:r>
          </w:p>
        </w:tc>
        <w:tc>
          <w:tcPr>
            <w:tcW w:w="404" w:type="pct"/>
            <w:vAlign w:val="center"/>
          </w:tcPr>
          <w:p w14:paraId="4F360C09" w14:textId="77777777" w:rsidR="0020245D" w:rsidRPr="00CB4BA6" w:rsidRDefault="0020245D" w:rsidP="00A62541">
            <w:pPr>
              <w:spacing w:line="276" w:lineRule="auto"/>
              <w:jc w:val="center"/>
              <w:rPr>
                <w:rFonts w:asciiTheme="majorBidi" w:hAnsiTheme="majorBidi" w:cstheme="majorBidi"/>
                <w:b/>
                <w:bCs/>
                <w:sz w:val="20"/>
                <w:szCs w:val="20"/>
                <w:lang w:val="en-US"/>
              </w:rPr>
            </w:pPr>
            <w:r w:rsidRPr="00CB4BA6">
              <w:rPr>
                <w:rFonts w:asciiTheme="majorBidi" w:hAnsiTheme="majorBidi" w:cstheme="majorBidi"/>
                <w:b/>
                <w:bCs/>
                <w:sz w:val="20"/>
                <w:szCs w:val="20"/>
                <w:lang w:val="en-US"/>
              </w:rPr>
              <w:t>%</w:t>
            </w:r>
          </w:p>
        </w:tc>
      </w:tr>
      <w:tr w:rsidR="0020245D" w:rsidRPr="00FE5908" w14:paraId="522F30E5" w14:textId="77777777" w:rsidTr="00355BCC">
        <w:tc>
          <w:tcPr>
            <w:tcW w:w="1350" w:type="pct"/>
            <w:vMerge w:val="restart"/>
            <w:vAlign w:val="center"/>
          </w:tcPr>
          <w:p w14:paraId="154B0B8A" w14:textId="40D0E69F" w:rsidR="0020245D" w:rsidRPr="00CB4BA6" w:rsidRDefault="0020245D" w:rsidP="00CB4BA6">
            <w:pPr>
              <w:spacing w:line="276" w:lineRule="auto"/>
              <w:jc w:val="center"/>
              <w:rPr>
                <w:rFonts w:asciiTheme="majorBidi" w:hAnsiTheme="majorBidi" w:cstheme="majorBidi"/>
                <w:b/>
                <w:bCs/>
                <w:sz w:val="20"/>
                <w:szCs w:val="20"/>
                <w:lang w:val="en-US"/>
              </w:rPr>
            </w:pPr>
            <w:r w:rsidRPr="00CB4BA6">
              <w:rPr>
                <w:rFonts w:asciiTheme="majorBidi" w:hAnsiTheme="majorBidi" w:cstheme="majorBidi"/>
                <w:b/>
                <w:bCs/>
                <w:sz w:val="20"/>
                <w:szCs w:val="20"/>
                <w:lang w:val="en-US"/>
              </w:rPr>
              <w:t>Odom clinical outcome scoring system</w:t>
            </w:r>
          </w:p>
        </w:tc>
        <w:tc>
          <w:tcPr>
            <w:tcW w:w="2973" w:type="pct"/>
            <w:vAlign w:val="center"/>
          </w:tcPr>
          <w:p w14:paraId="7B066759" w14:textId="77777777" w:rsidR="0020245D" w:rsidRPr="00CB4BA6" w:rsidRDefault="0020245D" w:rsidP="00CB4BA6">
            <w:pPr>
              <w:spacing w:line="276" w:lineRule="auto"/>
              <w:jc w:val="center"/>
              <w:rPr>
                <w:rFonts w:asciiTheme="majorBidi" w:hAnsiTheme="majorBidi" w:cstheme="majorBidi"/>
                <w:b/>
                <w:bCs/>
                <w:sz w:val="20"/>
                <w:szCs w:val="20"/>
                <w:lang w:val="en-US"/>
              </w:rPr>
            </w:pPr>
            <w:r w:rsidRPr="00CB4BA6">
              <w:rPr>
                <w:rFonts w:asciiTheme="majorBidi" w:hAnsiTheme="majorBidi" w:cstheme="majorBidi"/>
                <w:b/>
                <w:bCs/>
                <w:sz w:val="20"/>
                <w:szCs w:val="20"/>
                <w:lang w:val="en-US"/>
              </w:rPr>
              <w:t>Excellent</w:t>
            </w:r>
          </w:p>
        </w:tc>
        <w:tc>
          <w:tcPr>
            <w:tcW w:w="273" w:type="pct"/>
            <w:vAlign w:val="center"/>
          </w:tcPr>
          <w:p w14:paraId="3FB7C6B4" w14:textId="77777777" w:rsidR="0020245D" w:rsidRPr="00A62541" w:rsidRDefault="0020245D" w:rsidP="00355BCC">
            <w:pPr>
              <w:jc w:val="center"/>
              <w:rPr>
                <w:rFonts w:cstheme="minorHAnsi"/>
                <w:sz w:val="24"/>
                <w:szCs w:val="24"/>
              </w:rPr>
            </w:pPr>
            <w:r w:rsidRPr="00A62541">
              <w:rPr>
                <w:rFonts w:cstheme="minorHAnsi"/>
                <w:sz w:val="24"/>
                <w:szCs w:val="24"/>
              </w:rPr>
              <w:t>15</w:t>
            </w:r>
          </w:p>
        </w:tc>
        <w:tc>
          <w:tcPr>
            <w:tcW w:w="404" w:type="pct"/>
            <w:vAlign w:val="center"/>
          </w:tcPr>
          <w:p w14:paraId="084ECD86" w14:textId="77777777" w:rsidR="0020245D" w:rsidRPr="00A62541" w:rsidRDefault="0020245D" w:rsidP="00355BCC">
            <w:pPr>
              <w:jc w:val="center"/>
              <w:rPr>
                <w:rFonts w:cstheme="minorHAnsi"/>
                <w:sz w:val="24"/>
                <w:szCs w:val="24"/>
              </w:rPr>
            </w:pPr>
            <w:r w:rsidRPr="00A62541">
              <w:rPr>
                <w:rFonts w:cstheme="minorHAnsi"/>
                <w:sz w:val="24"/>
                <w:szCs w:val="24"/>
              </w:rPr>
              <w:t>78.95</w:t>
            </w:r>
          </w:p>
        </w:tc>
      </w:tr>
      <w:tr w:rsidR="0020245D" w:rsidRPr="00FE5908" w14:paraId="3975F057" w14:textId="77777777" w:rsidTr="00355BCC">
        <w:tc>
          <w:tcPr>
            <w:tcW w:w="1350" w:type="pct"/>
            <w:vMerge/>
            <w:vAlign w:val="center"/>
          </w:tcPr>
          <w:p w14:paraId="7773A944" w14:textId="77777777" w:rsidR="0020245D" w:rsidRPr="00CB4BA6" w:rsidRDefault="0020245D" w:rsidP="00CB4BA6">
            <w:pPr>
              <w:spacing w:line="276" w:lineRule="auto"/>
              <w:jc w:val="center"/>
              <w:rPr>
                <w:rFonts w:asciiTheme="majorBidi" w:hAnsiTheme="majorBidi" w:cstheme="majorBidi"/>
                <w:b/>
                <w:bCs/>
                <w:sz w:val="20"/>
                <w:szCs w:val="20"/>
                <w:lang w:val="en-US"/>
              </w:rPr>
            </w:pPr>
          </w:p>
        </w:tc>
        <w:tc>
          <w:tcPr>
            <w:tcW w:w="2973" w:type="pct"/>
            <w:vAlign w:val="center"/>
          </w:tcPr>
          <w:p w14:paraId="2B317B02" w14:textId="77777777" w:rsidR="0020245D" w:rsidRPr="00CB4BA6" w:rsidRDefault="0020245D" w:rsidP="00CB4BA6">
            <w:pPr>
              <w:spacing w:line="276" w:lineRule="auto"/>
              <w:jc w:val="center"/>
              <w:rPr>
                <w:rFonts w:asciiTheme="majorBidi" w:hAnsiTheme="majorBidi" w:cstheme="majorBidi"/>
                <w:b/>
                <w:bCs/>
                <w:sz w:val="20"/>
                <w:szCs w:val="20"/>
                <w:lang w:val="en-US"/>
              </w:rPr>
            </w:pPr>
            <w:r w:rsidRPr="00CB4BA6">
              <w:rPr>
                <w:rFonts w:asciiTheme="majorBidi" w:hAnsiTheme="majorBidi" w:cstheme="majorBidi"/>
                <w:b/>
                <w:bCs/>
                <w:sz w:val="20"/>
                <w:szCs w:val="20"/>
                <w:lang w:val="en-US"/>
              </w:rPr>
              <w:t>Good</w:t>
            </w:r>
          </w:p>
        </w:tc>
        <w:tc>
          <w:tcPr>
            <w:tcW w:w="273" w:type="pct"/>
            <w:vAlign w:val="center"/>
          </w:tcPr>
          <w:p w14:paraId="2448C562" w14:textId="77777777" w:rsidR="0020245D" w:rsidRPr="00A62541" w:rsidRDefault="0020245D" w:rsidP="00355BCC">
            <w:pPr>
              <w:jc w:val="center"/>
              <w:rPr>
                <w:rFonts w:cstheme="minorHAnsi"/>
                <w:sz w:val="24"/>
                <w:szCs w:val="24"/>
              </w:rPr>
            </w:pPr>
            <w:r w:rsidRPr="00A62541">
              <w:rPr>
                <w:rFonts w:cstheme="minorHAnsi"/>
                <w:sz w:val="24"/>
                <w:szCs w:val="24"/>
              </w:rPr>
              <w:t>4</w:t>
            </w:r>
          </w:p>
        </w:tc>
        <w:tc>
          <w:tcPr>
            <w:tcW w:w="404" w:type="pct"/>
            <w:vAlign w:val="center"/>
          </w:tcPr>
          <w:p w14:paraId="16C90949" w14:textId="77777777" w:rsidR="0020245D" w:rsidRPr="00A62541" w:rsidRDefault="0020245D" w:rsidP="00355BCC">
            <w:pPr>
              <w:jc w:val="center"/>
              <w:rPr>
                <w:rFonts w:cstheme="minorHAnsi"/>
                <w:sz w:val="24"/>
                <w:szCs w:val="24"/>
              </w:rPr>
            </w:pPr>
            <w:r w:rsidRPr="00A62541">
              <w:rPr>
                <w:rFonts w:cstheme="minorHAnsi"/>
                <w:sz w:val="24"/>
                <w:szCs w:val="24"/>
              </w:rPr>
              <w:t>21.05</w:t>
            </w:r>
          </w:p>
        </w:tc>
      </w:tr>
      <w:tr w:rsidR="0020245D" w:rsidRPr="00FE5908" w14:paraId="685DF3CC" w14:textId="77777777" w:rsidTr="00355BCC">
        <w:tc>
          <w:tcPr>
            <w:tcW w:w="1350" w:type="pct"/>
            <w:vMerge w:val="restart"/>
            <w:vAlign w:val="center"/>
          </w:tcPr>
          <w:p w14:paraId="7C9203A2" w14:textId="292C3948" w:rsidR="0020245D" w:rsidRPr="00CB4BA6" w:rsidRDefault="0020245D" w:rsidP="00CB4BA6">
            <w:pPr>
              <w:spacing w:line="276" w:lineRule="auto"/>
              <w:jc w:val="center"/>
              <w:rPr>
                <w:rFonts w:asciiTheme="majorBidi" w:hAnsiTheme="majorBidi" w:cstheme="majorBidi"/>
                <w:b/>
                <w:bCs/>
                <w:sz w:val="20"/>
                <w:szCs w:val="20"/>
                <w:lang w:val="en-US"/>
              </w:rPr>
            </w:pPr>
            <w:r w:rsidRPr="00CB4BA6">
              <w:rPr>
                <w:rFonts w:asciiTheme="majorBidi" w:hAnsiTheme="majorBidi" w:cstheme="majorBidi"/>
                <w:b/>
                <w:bCs/>
                <w:sz w:val="20"/>
                <w:szCs w:val="20"/>
                <w:lang w:val="en-US"/>
              </w:rPr>
              <w:t>Patient satisfaction index</w:t>
            </w:r>
          </w:p>
        </w:tc>
        <w:tc>
          <w:tcPr>
            <w:tcW w:w="2973" w:type="pct"/>
            <w:vAlign w:val="center"/>
          </w:tcPr>
          <w:p w14:paraId="08A24961" w14:textId="284BE8AA" w:rsidR="0020245D" w:rsidRPr="00CB4BA6" w:rsidRDefault="0020245D" w:rsidP="00CB4BA6">
            <w:pPr>
              <w:spacing w:line="276" w:lineRule="auto"/>
              <w:jc w:val="center"/>
              <w:rPr>
                <w:rFonts w:asciiTheme="majorBidi" w:hAnsiTheme="majorBidi" w:cstheme="majorBidi"/>
                <w:b/>
                <w:bCs/>
                <w:sz w:val="20"/>
                <w:szCs w:val="20"/>
                <w:lang w:val="en-US"/>
              </w:rPr>
            </w:pPr>
            <w:r w:rsidRPr="00CB4BA6">
              <w:rPr>
                <w:rFonts w:asciiTheme="majorBidi" w:hAnsiTheme="majorBidi" w:cstheme="majorBidi"/>
                <w:b/>
                <w:bCs/>
                <w:sz w:val="20"/>
                <w:szCs w:val="20"/>
                <w:lang w:val="en-US"/>
              </w:rPr>
              <w:t>Surgery met patients ‘expectations</w:t>
            </w:r>
            <w:r w:rsidR="00293854" w:rsidRPr="00CB4BA6">
              <w:rPr>
                <w:rFonts w:asciiTheme="majorBidi" w:hAnsiTheme="majorBidi" w:cstheme="majorBidi"/>
                <w:b/>
                <w:bCs/>
                <w:sz w:val="20"/>
                <w:szCs w:val="20"/>
                <w:lang w:val="en-US"/>
              </w:rPr>
              <w:t xml:space="preserve"> (</w:t>
            </w:r>
            <w:r w:rsidR="00F1566F">
              <w:rPr>
                <w:rFonts w:asciiTheme="majorBidi" w:hAnsiTheme="majorBidi" w:cstheme="majorBidi"/>
                <w:b/>
                <w:bCs/>
                <w:sz w:val="20"/>
                <w:szCs w:val="20"/>
                <w:lang w:val="en-US"/>
              </w:rPr>
              <w:t>G</w:t>
            </w:r>
            <w:r w:rsidR="00293854" w:rsidRPr="00CB4BA6">
              <w:rPr>
                <w:rFonts w:asciiTheme="majorBidi" w:hAnsiTheme="majorBidi" w:cstheme="majorBidi"/>
                <w:b/>
                <w:bCs/>
                <w:sz w:val="20"/>
                <w:szCs w:val="20"/>
                <w:lang w:val="en-US"/>
              </w:rPr>
              <w:t>rade 1)</w:t>
            </w:r>
          </w:p>
        </w:tc>
        <w:tc>
          <w:tcPr>
            <w:tcW w:w="273" w:type="pct"/>
            <w:vAlign w:val="center"/>
          </w:tcPr>
          <w:p w14:paraId="54E5B487" w14:textId="77777777" w:rsidR="0020245D" w:rsidRPr="00A62541" w:rsidRDefault="0020245D" w:rsidP="00355BCC">
            <w:pPr>
              <w:jc w:val="center"/>
              <w:rPr>
                <w:rFonts w:cstheme="minorHAnsi"/>
                <w:sz w:val="24"/>
                <w:szCs w:val="24"/>
              </w:rPr>
            </w:pPr>
            <w:r w:rsidRPr="00A62541">
              <w:rPr>
                <w:rFonts w:cstheme="minorHAnsi"/>
                <w:sz w:val="24"/>
                <w:szCs w:val="24"/>
              </w:rPr>
              <w:t>16</w:t>
            </w:r>
          </w:p>
        </w:tc>
        <w:tc>
          <w:tcPr>
            <w:tcW w:w="404" w:type="pct"/>
            <w:vAlign w:val="center"/>
          </w:tcPr>
          <w:p w14:paraId="0B4B71EB" w14:textId="77777777" w:rsidR="0020245D" w:rsidRPr="00A62541" w:rsidRDefault="0020245D" w:rsidP="00355BCC">
            <w:pPr>
              <w:jc w:val="center"/>
              <w:rPr>
                <w:rFonts w:cstheme="minorHAnsi"/>
                <w:sz w:val="24"/>
                <w:szCs w:val="24"/>
              </w:rPr>
            </w:pPr>
            <w:r w:rsidRPr="00A62541">
              <w:rPr>
                <w:rFonts w:cstheme="minorHAnsi"/>
                <w:sz w:val="24"/>
                <w:szCs w:val="24"/>
              </w:rPr>
              <w:t>84.21</w:t>
            </w:r>
          </w:p>
        </w:tc>
      </w:tr>
      <w:tr w:rsidR="0020245D" w:rsidRPr="00FE5908" w14:paraId="359011D8" w14:textId="77777777" w:rsidTr="00355BCC">
        <w:tc>
          <w:tcPr>
            <w:tcW w:w="1350" w:type="pct"/>
            <w:vMerge/>
            <w:vAlign w:val="center"/>
          </w:tcPr>
          <w:p w14:paraId="775ED87C" w14:textId="77777777" w:rsidR="0020245D" w:rsidRPr="00CB4BA6" w:rsidRDefault="0020245D" w:rsidP="00CB4BA6">
            <w:pPr>
              <w:spacing w:line="276" w:lineRule="auto"/>
              <w:jc w:val="center"/>
              <w:rPr>
                <w:rFonts w:asciiTheme="majorBidi" w:hAnsiTheme="majorBidi" w:cstheme="majorBidi"/>
                <w:b/>
                <w:bCs/>
                <w:sz w:val="20"/>
                <w:szCs w:val="20"/>
                <w:lang w:val="en-US"/>
              </w:rPr>
            </w:pPr>
          </w:p>
        </w:tc>
        <w:tc>
          <w:tcPr>
            <w:tcW w:w="2973" w:type="pct"/>
            <w:vAlign w:val="center"/>
          </w:tcPr>
          <w:p w14:paraId="57C3360A" w14:textId="77777777" w:rsidR="0020245D" w:rsidRPr="00CB4BA6" w:rsidRDefault="0020245D" w:rsidP="00CB4BA6">
            <w:pPr>
              <w:spacing w:line="276" w:lineRule="auto"/>
              <w:jc w:val="center"/>
              <w:rPr>
                <w:rFonts w:asciiTheme="majorBidi" w:hAnsiTheme="majorBidi" w:cstheme="majorBidi"/>
                <w:b/>
                <w:bCs/>
                <w:sz w:val="20"/>
                <w:szCs w:val="20"/>
                <w:lang w:val="en-US"/>
              </w:rPr>
            </w:pPr>
            <w:r w:rsidRPr="00CB4BA6">
              <w:rPr>
                <w:rFonts w:asciiTheme="majorBidi" w:hAnsiTheme="majorBidi" w:cstheme="majorBidi"/>
                <w:b/>
                <w:bCs/>
                <w:sz w:val="20"/>
                <w:szCs w:val="20"/>
                <w:lang w:val="en-US"/>
              </w:rPr>
              <w:t>Did not improved as much as hoped, but would undergo the same operation for the same results.</w:t>
            </w:r>
          </w:p>
          <w:p w14:paraId="0CA40529" w14:textId="59961D12" w:rsidR="00293854" w:rsidRPr="00CB4BA6" w:rsidRDefault="00293854" w:rsidP="00CB4BA6">
            <w:pPr>
              <w:spacing w:line="276" w:lineRule="auto"/>
              <w:jc w:val="center"/>
              <w:rPr>
                <w:rFonts w:asciiTheme="majorBidi" w:hAnsiTheme="majorBidi" w:cstheme="majorBidi"/>
                <w:b/>
                <w:bCs/>
                <w:sz w:val="20"/>
                <w:szCs w:val="20"/>
                <w:lang w:val="en-US"/>
              </w:rPr>
            </w:pPr>
            <w:r w:rsidRPr="00CB4BA6">
              <w:rPr>
                <w:rFonts w:asciiTheme="majorBidi" w:hAnsiTheme="majorBidi" w:cstheme="majorBidi"/>
                <w:b/>
                <w:bCs/>
                <w:sz w:val="20"/>
                <w:szCs w:val="20"/>
                <w:lang w:val="en-US"/>
              </w:rPr>
              <w:t>(</w:t>
            </w:r>
            <w:r w:rsidR="00F1566F" w:rsidRPr="00CB4BA6">
              <w:rPr>
                <w:rFonts w:asciiTheme="majorBidi" w:hAnsiTheme="majorBidi" w:cstheme="majorBidi"/>
                <w:b/>
                <w:bCs/>
                <w:sz w:val="20"/>
                <w:szCs w:val="20"/>
                <w:lang w:val="en-US"/>
              </w:rPr>
              <w:t>Grade</w:t>
            </w:r>
            <w:r w:rsidRPr="00CB4BA6">
              <w:rPr>
                <w:rFonts w:asciiTheme="majorBidi" w:hAnsiTheme="majorBidi" w:cstheme="majorBidi"/>
                <w:b/>
                <w:bCs/>
                <w:sz w:val="20"/>
                <w:szCs w:val="20"/>
                <w:lang w:val="en-US"/>
              </w:rPr>
              <w:t xml:space="preserve"> 2)</w:t>
            </w:r>
          </w:p>
        </w:tc>
        <w:tc>
          <w:tcPr>
            <w:tcW w:w="273" w:type="pct"/>
            <w:vAlign w:val="center"/>
          </w:tcPr>
          <w:p w14:paraId="0B66AFF8" w14:textId="77777777" w:rsidR="0020245D" w:rsidRPr="00A62541" w:rsidRDefault="0020245D" w:rsidP="00355BCC">
            <w:pPr>
              <w:jc w:val="center"/>
              <w:rPr>
                <w:rFonts w:cstheme="minorHAnsi"/>
                <w:sz w:val="24"/>
                <w:szCs w:val="24"/>
              </w:rPr>
            </w:pPr>
            <w:r w:rsidRPr="00A62541">
              <w:rPr>
                <w:rFonts w:cstheme="minorHAnsi"/>
                <w:sz w:val="24"/>
                <w:szCs w:val="24"/>
              </w:rPr>
              <w:t>3</w:t>
            </w:r>
          </w:p>
        </w:tc>
        <w:tc>
          <w:tcPr>
            <w:tcW w:w="404" w:type="pct"/>
            <w:vAlign w:val="center"/>
          </w:tcPr>
          <w:p w14:paraId="7D7967CD" w14:textId="77777777" w:rsidR="0020245D" w:rsidRPr="00A62541" w:rsidRDefault="0020245D" w:rsidP="00355BCC">
            <w:pPr>
              <w:jc w:val="center"/>
              <w:rPr>
                <w:rFonts w:cstheme="minorHAnsi"/>
                <w:sz w:val="24"/>
                <w:szCs w:val="24"/>
              </w:rPr>
            </w:pPr>
            <w:r w:rsidRPr="00A62541">
              <w:rPr>
                <w:rFonts w:cstheme="minorHAnsi"/>
                <w:sz w:val="24"/>
                <w:szCs w:val="24"/>
              </w:rPr>
              <w:t>15.79</w:t>
            </w:r>
          </w:p>
        </w:tc>
      </w:tr>
    </w:tbl>
    <w:p w14:paraId="170C3BB5" w14:textId="77777777" w:rsidR="00D3660B" w:rsidRDefault="00D3660B" w:rsidP="001D3C7B">
      <w:pPr>
        <w:spacing w:after="0" w:line="240" w:lineRule="auto"/>
        <w:rPr>
          <w:rFonts w:cstheme="minorHAnsi"/>
          <w:sz w:val="24"/>
          <w:szCs w:val="24"/>
        </w:rPr>
      </w:pPr>
    </w:p>
    <w:p w14:paraId="20DF3057" w14:textId="77777777" w:rsidR="004057D4" w:rsidRPr="004057D4" w:rsidRDefault="004057D4" w:rsidP="00CB4BA6">
      <w:pPr>
        <w:spacing w:after="0" w:line="240" w:lineRule="auto"/>
        <w:jc w:val="both"/>
        <w:rPr>
          <w:rFonts w:ascii="Times New Roman" w:eastAsia="Times New Roman" w:hAnsi="Times New Roman" w:cs="Times New Roman"/>
          <w:color w:val="231F20"/>
          <w:sz w:val="24"/>
          <w:szCs w:val="24"/>
          <w:rtl/>
        </w:rPr>
      </w:pPr>
      <w:r w:rsidRPr="004057D4">
        <w:rPr>
          <w:rFonts w:ascii="Times New Roman" w:eastAsia="Times New Roman" w:hAnsi="Times New Roman" w:cs="Times New Roman"/>
          <w:color w:val="231F20"/>
          <w:sz w:val="24"/>
          <w:szCs w:val="24"/>
        </w:rPr>
        <w:t xml:space="preserve">Of the operated 19 levels and according to lateral radiographs obtained one year after surgery, 17 levels (89.47 %) showed bony fusion according to study criteria, while 2 levels (10.53 %) showed non-union. The two patients with non-union, one of them had excellent outcome and the other one had good outcome according Odom’s criteria and because of such clinical outcomes, additional surgery was not planned. </w:t>
      </w:r>
    </w:p>
    <w:p w14:paraId="3B1B0D05" w14:textId="2F10CED9" w:rsidR="004057D4" w:rsidRDefault="004057D4" w:rsidP="00CB4BA6">
      <w:pPr>
        <w:spacing w:after="0" w:line="240" w:lineRule="auto"/>
        <w:jc w:val="both"/>
        <w:rPr>
          <w:rFonts w:ascii="Times New Roman" w:eastAsia="Times New Roman" w:hAnsi="Times New Roman" w:cs="Times New Roman"/>
          <w:color w:val="231F20"/>
          <w:sz w:val="24"/>
          <w:szCs w:val="24"/>
        </w:rPr>
      </w:pPr>
      <w:r w:rsidRPr="004057D4">
        <w:rPr>
          <w:rFonts w:ascii="Times New Roman" w:eastAsia="Times New Roman" w:hAnsi="Times New Roman" w:cs="Times New Roman"/>
          <w:color w:val="231F20"/>
          <w:sz w:val="24"/>
          <w:szCs w:val="24"/>
        </w:rPr>
        <w:t>Regarding post-operative complications, one patient (5.26%) who was operated at C6-7 level had post- operative hoarseness of voice improved gradually to normal in 3 months after surgery. Four patients (</w:t>
      </w:r>
      <w:r w:rsidRPr="004057D4">
        <w:rPr>
          <w:rFonts w:ascii="Times New Roman" w:hAnsi="Times New Roman" w:cs="Times New Roman"/>
          <w:sz w:val="24"/>
          <w:szCs w:val="24"/>
        </w:rPr>
        <w:t>21.05%)</w:t>
      </w:r>
      <w:r w:rsidRPr="004057D4">
        <w:rPr>
          <w:rFonts w:ascii="Times New Roman" w:eastAsia="Times New Roman" w:hAnsi="Times New Roman" w:cs="Times New Roman"/>
          <w:color w:val="231F20"/>
          <w:sz w:val="24"/>
          <w:szCs w:val="24"/>
        </w:rPr>
        <w:t xml:space="preserve"> reported postoperative mild dysphagia and discharged from hospital after 3 days as they improved gradually, and dysphagia disappeared completely within two weeks post-op. and </w:t>
      </w:r>
      <w:r w:rsidRPr="004057D4">
        <w:rPr>
          <w:rFonts w:ascii="Times New Roman" w:eastAsia="Times New Roman" w:hAnsi="Times New Roman" w:cs="Times New Roman"/>
          <w:color w:val="231F20"/>
          <w:sz w:val="24"/>
          <w:szCs w:val="24"/>
        </w:rPr>
        <w:lastRenderedPageBreak/>
        <w:t>we think this was secondary to retraction.  No new neurologic deficit, no wound infections and no patients needed revision surgeries during the follow-up period of our 19 cases.</w:t>
      </w:r>
    </w:p>
    <w:p w14:paraId="32DC31FA" w14:textId="77777777" w:rsidR="00CB4BA6" w:rsidRPr="004057D4" w:rsidRDefault="00CB4BA6" w:rsidP="00CB4BA6">
      <w:pPr>
        <w:spacing w:after="0" w:line="240" w:lineRule="auto"/>
        <w:jc w:val="both"/>
        <w:rPr>
          <w:rFonts w:ascii="Times New Roman" w:eastAsia="Times New Roman" w:hAnsi="Times New Roman" w:cs="Times New Roman"/>
          <w:color w:val="231F20"/>
          <w:sz w:val="24"/>
          <w:szCs w:val="24"/>
        </w:rPr>
      </w:pPr>
    </w:p>
    <w:p w14:paraId="7177BFFE" w14:textId="4B950C88" w:rsidR="005269D8" w:rsidRDefault="00310532" w:rsidP="00B224DA">
      <w:pPr>
        <w:spacing w:after="0"/>
        <w:jc w:val="both"/>
        <w:rPr>
          <w:rFonts w:eastAsia="Times New Roman" w:cstheme="minorHAnsi"/>
          <w:color w:val="231F20"/>
          <w:sz w:val="24"/>
          <w:szCs w:val="24"/>
        </w:rPr>
      </w:pPr>
      <w:r>
        <w:rPr>
          <w:rFonts w:eastAsia="Times New Roman" w:cstheme="minorHAnsi"/>
          <w:noProof/>
          <w:color w:val="231F20"/>
          <w:sz w:val="24"/>
          <w:szCs w:val="24"/>
        </w:rPr>
        <mc:AlternateContent>
          <mc:Choice Requires="wps">
            <w:drawing>
              <wp:anchor distT="0" distB="0" distL="114300" distR="114300" simplePos="0" relativeHeight="251660288" behindDoc="0" locked="0" layoutInCell="1" allowOverlap="1" wp14:anchorId="5896890D" wp14:editId="347FCCA3">
                <wp:simplePos x="0" y="0"/>
                <wp:positionH relativeFrom="column">
                  <wp:posOffset>2924175</wp:posOffset>
                </wp:positionH>
                <wp:positionV relativeFrom="paragraph">
                  <wp:posOffset>1400175</wp:posOffset>
                </wp:positionV>
                <wp:extent cx="247650" cy="247650"/>
                <wp:effectExtent l="0" t="0" r="19050" b="19050"/>
                <wp:wrapNone/>
                <wp:docPr id="8" name="Rectangle 8"/>
                <wp:cNvGraphicFramePr/>
                <a:graphic xmlns:a="http://schemas.openxmlformats.org/drawingml/2006/main">
                  <a:graphicData uri="http://schemas.microsoft.com/office/word/2010/wordprocessingShape">
                    <wps:wsp>
                      <wps:cNvSpPr/>
                      <wps:spPr>
                        <a:xfrm rot="10800000" flipV="1">
                          <a:off x="0" y="0"/>
                          <a:ext cx="247650" cy="247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FE3A4C9" w14:textId="0B238BE7" w:rsidR="00F52AB3" w:rsidRDefault="00F52AB3" w:rsidP="00B3757D">
                            <w:pPr>
                              <w:jc w:val="center"/>
                            </w:pPr>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6890D" id="Rectangle 8" o:spid="_x0000_s1026" style="position:absolute;left:0;text-align:left;margin-left:230.25pt;margin-top:110.25pt;width:19.5pt;height:19.5pt;rotation:18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" fillcolor="white [3201]" strokecolor="#70ad47 [3209]" strokeweight="1pt">
                <v:textbox>
                  <w:txbxContent>
                    <w:p w14:paraId="1FE3A4C9" w14:textId="0B238BE7" w:rsidR="00F52AB3" w:rsidRDefault="00F52AB3" w:rsidP="00B3757D">
                      <w:pPr>
                        <w:jc w:val="center"/>
                      </w:pPr>
                      <w:r>
                        <w:t>B</w:t>
                      </w:r>
                    </w:p>
                  </w:txbxContent>
                </v:textbox>
              </v:rect>
            </w:pict>
          </mc:Fallback>
        </mc:AlternateContent>
      </w:r>
      <w:r>
        <w:rPr>
          <w:rFonts w:eastAsia="Times New Roman" w:cstheme="minorHAnsi"/>
          <w:noProof/>
          <w:color w:val="231F20"/>
          <w:sz w:val="24"/>
          <w:szCs w:val="24"/>
        </w:rPr>
        <mc:AlternateContent>
          <mc:Choice Requires="wps">
            <w:drawing>
              <wp:anchor distT="0" distB="0" distL="114300" distR="114300" simplePos="0" relativeHeight="251659264" behindDoc="0" locked="0" layoutInCell="1" allowOverlap="1" wp14:anchorId="69DC6ACA" wp14:editId="49794107">
                <wp:simplePos x="0" y="0"/>
                <wp:positionH relativeFrom="column">
                  <wp:posOffset>447675</wp:posOffset>
                </wp:positionH>
                <wp:positionV relativeFrom="paragraph">
                  <wp:posOffset>1400175</wp:posOffset>
                </wp:positionV>
                <wp:extent cx="228600" cy="238125"/>
                <wp:effectExtent l="0" t="0" r="19050" b="28575"/>
                <wp:wrapNone/>
                <wp:docPr id="7" name="Rectangle 7"/>
                <wp:cNvGraphicFramePr/>
                <a:graphic xmlns:a="http://schemas.openxmlformats.org/drawingml/2006/main">
                  <a:graphicData uri="http://schemas.microsoft.com/office/word/2010/wordprocessingShape">
                    <wps:wsp>
                      <wps:cNvSpPr/>
                      <wps:spPr>
                        <a:xfrm rot="10800000" flipV="1">
                          <a:off x="0" y="0"/>
                          <a:ext cx="228600" cy="2381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2CB4B23" w14:textId="6FFD5F7E" w:rsidR="00F52AB3" w:rsidRDefault="00F52AB3" w:rsidP="004F6B70">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C6ACA" id="Rectangle 7" o:spid="_x0000_s1027" style="position:absolute;left:0;text-align:left;margin-left:35.25pt;margin-top:110.25pt;width:18pt;height:18.75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" fillcolor="white [3201]" strokecolor="#70ad47 [3209]" strokeweight="1pt">
                <v:textbox>
                  <w:txbxContent>
                    <w:p w14:paraId="62CB4B23" w14:textId="6FFD5F7E" w:rsidR="00F52AB3" w:rsidRDefault="00F52AB3" w:rsidP="004F6B70">
                      <w:pPr>
                        <w:jc w:val="center"/>
                      </w:pPr>
                      <w:r>
                        <w:t>A</w:t>
                      </w:r>
                    </w:p>
                  </w:txbxContent>
                </v:textbox>
              </v:rect>
            </w:pict>
          </mc:Fallback>
        </mc:AlternateContent>
      </w:r>
      <w:r w:rsidR="008B7162">
        <w:rPr>
          <w:rFonts w:eastAsia="Times New Roman" w:cstheme="minorHAnsi"/>
          <w:color w:val="231F20"/>
          <w:sz w:val="24"/>
          <w:szCs w:val="24"/>
        </w:rPr>
        <w:t xml:space="preserve">     </w:t>
      </w:r>
      <w:r w:rsidR="004E46A8">
        <w:rPr>
          <w:rFonts w:eastAsia="Times New Roman" w:cstheme="minorHAnsi"/>
          <w:color w:val="231F20"/>
          <w:sz w:val="24"/>
          <w:szCs w:val="24"/>
        </w:rPr>
        <w:t xml:space="preserve">  </w:t>
      </w:r>
      <w:r w:rsidR="005269D8">
        <w:rPr>
          <w:rFonts w:eastAsia="Times New Roman" w:cstheme="minorHAnsi"/>
          <w:color w:val="231F20"/>
          <w:sz w:val="24"/>
          <w:szCs w:val="24"/>
        </w:rPr>
        <w:t xml:space="preserve">    </w:t>
      </w:r>
      <w:r w:rsidR="00182C2F">
        <w:rPr>
          <w:rFonts w:eastAsia="Times New Roman" w:cstheme="minorHAnsi"/>
          <w:color w:val="231F20"/>
          <w:sz w:val="24"/>
          <w:szCs w:val="24"/>
        </w:rPr>
        <w:t xml:space="preserve">  </w:t>
      </w:r>
      <w:r w:rsidR="003B0A98">
        <w:rPr>
          <w:noProof/>
        </w:rPr>
        <w:drawing>
          <wp:inline distT="0" distB="0" distL="0" distR="0" wp14:anchorId="4ED47DFE" wp14:editId="34F83C56">
            <wp:extent cx="2244090" cy="165763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4090" cy="1657636"/>
                    </a:xfrm>
                    <a:prstGeom prst="rect">
                      <a:avLst/>
                    </a:prstGeom>
                    <a:noFill/>
                    <a:ln>
                      <a:noFill/>
                    </a:ln>
                  </pic:spPr>
                </pic:pic>
              </a:graphicData>
            </a:graphic>
          </wp:inline>
        </w:drawing>
      </w:r>
      <w:r w:rsidR="003B0A98">
        <w:rPr>
          <w:rFonts w:eastAsia="Times New Roman" w:cstheme="minorHAnsi"/>
          <w:color w:val="231F20"/>
          <w:sz w:val="24"/>
          <w:szCs w:val="24"/>
        </w:rPr>
        <w:t xml:space="preserve">   </w:t>
      </w:r>
      <w:r w:rsidR="004E46A8">
        <w:rPr>
          <w:rFonts w:eastAsia="Times New Roman" w:cstheme="minorHAnsi"/>
          <w:color w:val="231F20"/>
          <w:sz w:val="24"/>
          <w:szCs w:val="24"/>
        </w:rPr>
        <w:t xml:space="preserve"> </w:t>
      </w:r>
      <w:r w:rsidR="003B0A98">
        <w:rPr>
          <w:rFonts w:eastAsia="Times New Roman" w:cstheme="minorHAnsi"/>
          <w:color w:val="231F20"/>
          <w:sz w:val="24"/>
          <w:szCs w:val="24"/>
        </w:rPr>
        <w:t xml:space="preserve">  </w:t>
      </w:r>
      <w:r w:rsidR="003B0A98">
        <w:rPr>
          <w:noProof/>
        </w:rPr>
        <w:drawing>
          <wp:inline distT="0" distB="0" distL="0" distR="0" wp14:anchorId="58A48E3A" wp14:editId="461A5020">
            <wp:extent cx="2512070" cy="16478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2070" cy="1647825"/>
                    </a:xfrm>
                    <a:prstGeom prst="rect">
                      <a:avLst/>
                    </a:prstGeom>
                    <a:noFill/>
                    <a:ln>
                      <a:noFill/>
                    </a:ln>
                  </pic:spPr>
                </pic:pic>
              </a:graphicData>
            </a:graphic>
          </wp:inline>
        </w:drawing>
      </w:r>
    </w:p>
    <w:p w14:paraId="1D5C321D" w14:textId="77777777" w:rsidR="00310532" w:rsidRDefault="00310532" w:rsidP="00B224DA">
      <w:pPr>
        <w:spacing w:after="0"/>
        <w:jc w:val="both"/>
        <w:rPr>
          <w:rFonts w:eastAsia="Times New Roman" w:cstheme="minorHAnsi"/>
          <w:color w:val="231F20"/>
          <w:sz w:val="24"/>
          <w:szCs w:val="24"/>
        </w:rPr>
      </w:pPr>
    </w:p>
    <w:p w14:paraId="6DB793BE" w14:textId="77777777" w:rsidR="00CB4BA6" w:rsidRDefault="00094443" w:rsidP="004F6B70">
      <w:pPr>
        <w:tabs>
          <w:tab w:val="right" w:pos="9360"/>
        </w:tabs>
        <w:spacing w:after="0"/>
        <w:jc w:val="both"/>
        <w:rPr>
          <w:rFonts w:eastAsia="Times New Roman" w:cstheme="minorHAnsi"/>
          <w:color w:val="231F20"/>
          <w:sz w:val="24"/>
          <w:szCs w:val="24"/>
        </w:rPr>
      </w:pPr>
      <w:r>
        <w:rPr>
          <w:rFonts w:eastAsia="Times New Roman" w:cstheme="minorHAnsi"/>
          <w:noProof/>
          <w:color w:val="231F20"/>
          <w:sz w:val="24"/>
          <w:szCs w:val="24"/>
        </w:rPr>
        <mc:AlternateContent>
          <mc:Choice Requires="wps">
            <w:drawing>
              <wp:anchor distT="0" distB="0" distL="114300" distR="114300" simplePos="0" relativeHeight="251662336" behindDoc="0" locked="0" layoutInCell="1" allowOverlap="1" wp14:anchorId="5799112A" wp14:editId="56853721">
                <wp:simplePos x="0" y="0"/>
                <wp:positionH relativeFrom="column">
                  <wp:posOffset>2114550</wp:posOffset>
                </wp:positionH>
                <wp:positionV relativeFrom="paragraph">
                  <wp:posOffset>2121535</wp:posOffset>
                </wp:positionV>
                <wp:extent cx="276225" cy="2381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76225" cy="2381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5C7075D" w14:textId="221E17EF" w:rsidR="00F52AB3" w:rsidRDefault="00F52AB3" w:rsidP="00B3757D">
                            <w:pPr>
                              <w:jc w:val="center"/>
                            </w:pP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9112A" id="Rectangle 12" o:spid="_x0000_s1028" style="position:absolute;left:0;text-align:left;margin-left:166.5pt;margin-top:167.05pt;width:21.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" fillcolor="white [3201]" strokecolor="#70ad47 [3209]" strokeweight="1pt">
                <v:textbox>
                  <w:txbxContent>
                    <w:p w14:paraId="25C7075D" w14:textId="221E17EF" w:rsidR="00F52AB3" w:rsidRDefault="00F52AB3" w:rsidP="00B3757D">
                      <w:pPr>
                        <w:jc w:val="center"/>
                      </w:pPr>
                      <w:r>
                        <w:t>D</w:t>
                      </w:r>
                    </w:p>
                  </w:txbxContent>
                </v:textbox>
              </v:rect>
            </w:pict>
          </mc:Fallback>
        </mc:AlternateContent>
      </w:r>
      <w:r w:rsidR="008A351B">
        <w:rPr>
          <w:rFonts w:eastAsia="Times New Roman" w:cstheme="minorHAnsi"/>
          <w:noProof/>
          <w:color w:val="231F20"/>
          <w:sz w:val="24"/>
          <w:szCs w:val="24"/>
        </w:rPr>
        <mc:AlternateContent>
          <mc:Choice Requires="wps">
            <w:drawing>
              <wp:anchor distT="0" distB="0" distL="114300" distR="114300" simplePos="0" relativeHeight="251663360" behindDoc="0" locked="0" layoutInCell="1" allowOverlap="1" wp14:anchorId="2707786E" wp14:editId="71F74D90">
                <wp:simplePos x="0" y="0"/>
                <wp:positionH relativeFrom="column">
                  <wp:posOffset>3867150</wp:posOffset>
                </wp:positionH>
                <wp:positionV relativeFrom="paragraph">
                  <wp:posOffset>2100581</wp:posOffset>
                </wp:positionV>
                <wp:extent cx="266700" cy="2476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66700" cy="247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F6B7AFA" w14:textId="5CC2726A" w:rsidR="00F52AB3" w:rsidRDefault="00F52AB3" w:rsidP="00835A6B">
                            <w:pPr>
                              <w:jc w:val="center"/>
                            </w:pPr>
                            <w: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7786E" id="Rectangle 14" o:spid="_x0000_s1029" style="position:absolute;left:0;text-align:left;margin-left:304.5pt;margin-top:165.4pt;width:21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" fillcolor="white [3201]" strokecolor="#70ad47 [3209]" strokeweight="1pt">
                <v:textbox>
                  <w:txbxContent>
                    <w:p w14:paraId="5F6B7AFA" w14:textId="5CC2726A" w:rsidR="00F52AB3" w:rsidRDefault="00F52AB3" w:rsidP="00835A6B">
                      <w:pPr>
                        <w:jc w:val="center"/>
                      </w:pPr>
                      <w:r>
                        <w:t>E</w:t>
                      </w:r>
                    </w:p>
                  </w:txbxContent>
                </v:textbox>
              </v:rect>
            </w:pict>
          </mc:Fallback>
        </mc:AlternateContent>
      </w:r>
      <w:r w:rsidR="008A351B">
        <w:rPr>
          <w:rFonts w:eastAsia="Times New Roman" w:cstheme="minorHAnsi"/>
          <w:noProof/>
          <w:color w:val="231F20"/>
          <w:sz w:val="24"/>
          <w:szCs w:val="24"/>
        </w:rPr>
        <mc:AlternateContent>
          <mc:Choice Requires="wps">
            <w:drawing>
              <wp:anchor distT="0" distB="0" distL="114300" distR="114300" simplePos="0" relativeHeight="251661312" behindDoc="0" locked="0" layoutInCell="1" allowOverlap="1" wp14:anchorId="3DE3C2D7" wp14:editId="55C18425">
                <wp:simplePos x="0" y="0"/>
                <wp:positionH relativeFrom="column">
                  <wp:posOffset>618490</wp:posOffset>
                </wp:positionH>
                <wp:positionV relativeFrom="paragraph">
                  <wp:posOffset>2091055</wp:posOffset>
                </wp:positionV>
                <wp:extent cx="314326" cy="257176"/>
                <wp:effectExtent l="0" t="0" r="28575" b="28575"/>
                <wp:wrapNone/>
                <wp:docPr id="9" name="Rectangle 9"/>
                <wp:cNvGraphicFramePr/>
                <a:graphic xmlns:a="http://schemas.openxmlformats.org/drawingml/2006/main">
                  <a:graphicData uri="http://schemas.microsoft.com/office/word/2010/wordprocessingShape">
                    <wps:wsp>
                      <wps:cNvSpPr/>
                      <wps:spPr>
                        <a:xfrm rot="10800000" flipV="1">
                          <a:off x="0" y="0"/>
                          <a:ext cx="314326" cy="257176"/>
                        </a:xfrm>
                        <a:prstGeom prst="rect">
                          <a:avLst/>
                        </a:prstGeom>
                      </wps:spPr>
                      <wps:style>
                        <a:lnRef idx="2">
                          <a:schemeClr val="accent6"/>
                        </a:lnRef>
                        <a:fillRef idx="1">
                          <a:schemeClr val="lt1"/>
                        </a:fillRef>
                        <a:effectRef idx="0">
                          <a:schemeClr val="accent6"/>
                        </a:effectRef>
                        <a:fontRef idx="minor">
                          <a:schemeClr val="dk1"/>
                        </a:fontRef>
                      </wps:style>
                      <wps:txbx>
                        <w:txbxContent>
                          <w:p w14:paraId="7696D1AA" w14:textId="35A54429" w:rsidR="00F52AB3" w:rsidRDefault="00F52AB3" w:rsidP="00B3757D">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3C2D7" id="Rectangle 9" o:spid="_x0000_s1030" style="position:absolute;left:0;text-align:left;margin-left:48.7pt;margin-top:164.65pt;width:24.75pt;height:20.25pt;rotation:18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" fillcolor="white [3201]" strokecolor="#70ad47 [3209]" strokeweight="1pt">
                <v:textbox>
                  <w:txbxContent>
                    <w:p w14:paraId="7696D1AA" w14:textId="35A54429" w:rsidR="00F52AB3" w:rsidRDefault="00F52AB3" w:rsidP="00B3757D">
                      <w:pPr>
                        <w:jc w:val="center"/>
                      </w:pPr>
                      <w:r>
                        <w:t>C</w:t>
                      </w:r>
                    </w:p>
                  </w:txbxContent>
                </v:textbox>
              </v:rect>
            </w:pict>
          </mc:Fallback>
        </mc:AlternateContent>
      </w:r>
      <w:r w:rsidR="00182C2F">
        <w:rPr>
          <w:rFonts w:eastAsia="Times New Roman" w:cstheme="minorHAnsi"/>
          <w:color w:val="231F20"/>
          <w:sz w:val="24"/>
          <w:szCs w:val="24"/>
        </w:rPr>
        <w:t xml:space="preserve">      </w:t>
      </w:r>
      <w:r w:rsidR="004E46A8">
        <w:rPr>
          <w:rFonts w:eastAsia="Times New Roman" w:cstheme="minorHAnsi"/>
          <w:color w:val="231F20"/>
          <w:sz w:val="24"/>
          <w:szCs w:val="24"/>
        </w:rPr>
        <w:t xml:space="preserve">     </w:t>
      </w:r>
      <w:r w:rsidR="008A351B">
        <w:rPr>
          <w:rFonts w:eastAsia="Times New Roman" w:cstheme="minorHAnsi"/>
          <w:color w:val="231F20"/>
          <w:sz w:val="24"/>
          <w:szCs w:val="24"/>
        </w:rPr>
        <w:t xml:space="preserve">     </w:t>
      </w:r>
      <w:r w:rsidR="004E46A8">
        <w:rPr>
          <w:rFonts w:eastAsia="Times New Roman" w:cstheme="minorHAnsi"/>
          <w:color w:val="231F20"/>
          <w:sz w:val="24"/>
          <w:szCs w:val="24"/>
        </w:rPr>
        <w:t xml:space="preserve"> </w:t>
      </w:r>
      <w:r w:rsidR="00182C2F">
        <w:rPr>
          <w:rFonts w:eastAsia="Times New Roman" w:cstheme="minorHAnsi"/>
          <w:color w:val="231F20"/>
          <w:sz w:val="24"/>
          <w:szCs w:val="24"/>
        </w:rPr>
        <w:t xml:space="preserve"> </w:t>
      </w:r>
      <w:r w:rsidR="008A351B">
        <w:rPr>
          <w:noProof/>
          <w:sz w:val="24"/>
          <w:szCs w:val="24"/>
        </w:rPr>
        <w:drawing>
          <wp:inline distT="0" distB="0" distL="0" distR="0" wp14:anchorId="7DFE9115" wp14:editId="50A64668">
            <wp:extent cx="1253490" cy="2325456"/>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5743" cy="2366740"/>
                    </a:xfrm>
                    <a:prstGeom prst="rect">
                      <a:avLst/>
                    </a:prstGeom>
                    <a:noFill/>
                  </pic:spPr>
                </pic:pic>
              </a:graphicData>
            </a:graphic>
          </wp:inline>
        </w:drawing>
      </w:r>
      <w:r w:rsidR="003B0A98">
        <w:rPr>
          <w:rFonts w:eastAsia="Times New Roman" w:cstheme="minorHAnsi"/>
          <w:color w:val="231F20"/>
          <w:sz w:val="24"/>
          <w:szCs w:val="24"/>
        </w:rPr>
        <w:t xml:space="preserve">  </w:t>
      </w:r>
      <w:r w:rsidR="00182C2F">
        <w:rPr>
          <w:rFonts w:eastAsia="Times New Roman" w:cstheme="minorHAnsi"/>
          <w:color w:val="231F20"/>
          <w:sz w:val="24"/>
          <w:szCs w:val="24"/>
        </w:rPr>
        <w:t xml:space="preserve">  </w:t>
      </w:r>
      <w:r w:rsidR="003B0A98">
        <w:rPr>
          <w:rFonts w:eastAsia="Times New Roman" w:cstheme="minorHAnsi"/>
          <w:color w:val="231F20"/>
          <w:sz w:val="24"/>
          <w:szCs w:val="24"/>
        </w:rPr>
        <w:t xml:space="preserve">   </w:t>
      </w:r>
      <w:r w:rsidR="003B0A98">
        <w:rPr>
          <w:noProof/>
        </w:rPr>
        <w:drawing>
          <wp:inline distT="0" distB="0" distL="0" distR="0" wp14:anchorId="7AF7F881" wp14:editId="182E3529">
            <wp:extent cx="1544053" cy="2333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9110" t="-1" r="16210" b="2217"/>
                    <a:stretch/>
                  </pic:blipFill>
                  <pic:spPr bwMode="auto">
                    <a:xfrm>
                      <a:off x="0" y="0"/>
                      <a:ext cx="1554404" cy="2349270"/>
                    </a:xfrm>
                    <a:prstGeom prst="rect">
                      <a:avLst/>
                    </a:prstGeom>
                    <a:noFill/>
                    <a:ln>
                      <a:noFill/>
                    </a:ln>
                    <a:extLst>
                      <a:ext uri="{53640926-AAD7-44D8-BBD7-CCE9431645EC}">
                        <a14:shadowObscured xmlns:a14="http://schemas.microsoft.com/office/drawing/2010/main"/>
                      </a:ext>
                    </a:extLst>
                  </pic:spPr>
                </pic:pic>
              </a:graphicData>
            </a:graphic>
          </wp:inline>
        </w:drawing>
      </w:r>
      <w:r w:rsidR="003B0A98">
        <w:rPr>
          <w:rFonts w:eastAsia="Times New Roman" w:cstheme="minorHAnsi"/>
          <w:color w:val="231F20"/>
          <w:sz w:val="24"/>
          <w:szCs w:val="24"/>
        </w:rPr>
        <w:t xml:space="preserve"> </w:t>
      </w:r>
      <w:r w:rsidR="00182C2F">
        <w:rPr>
          <w:rFonts w:eastAsia="Times New Roman" w:cstheme="minorHAnsi"/>
          <w:color w:val="231F20"/>
          <w:sz w:val="24"/>
          <w:szCs w:val="24"/>
        </w:rPr>
        <w:t xml:space="preserve">  </w:t>
      </w:r>
      <w:r w:rsidR="004E46A8">
        <w:rPr>
          <w:rFonts w:eastAsia="Times New Roman" w:cstheme="minorHAnsi"/>
          <w:color w:val="231F20"/>
          <w:sz w:val="24"/>
          <w:szCs w:val="24"/>
        </w:rPr>
        <w:t xml:space="preserve">   </w:t>
      </w:r>
      <w:r w:rsidR="008B7162">
        <w:rPr>
          <w:noProof/>
        </w:rPr>
        <w:drawing>
          <wp:inline distT="0" distB="0" distL="0" distR="0" wp14:anchorId="0025D912" wp14:editId="68CB9BD3">
            <wp:extent cx="1314349" cy="2353396"/>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1525" cy="2384150"/>
                    </a:xfrm>
                    <a:prstGeom prst="rect">
                      <a:avLst/>
                    </a:prstGeom>
                    <a:noFill/>
                    <a:ln>
                      <a:noFill/>
                    </a:ln>
                  </pic:spPr>
                </pic:pic>
              </a:graphicData>
            </a:graphic>
          </wp:inline>
        </w:drawing>
      </w:r>
      <w:r w:rsidR="00182C2F">
        <w:rPr>
          <w:rFonts w:eastAsia="Times New Roman" w:cstheme="minorHAnsi"/>
          <w:color w:val="231F20"/>
          <w:sz w:val="24"/>
          <w:szCs w:val="24"/>
        </w:rPr>
        <w:t xml:space="preserve"> </w:t>
      </w:r>
      <w:r w:rsidR="00310532">
        <w:rPr>
          <w:rFonts w:eastAsia="Times New Roman" w:cstheme="minorHAnsi"/>
          <w:color w:val="231F20"/>
          <w:sz w:val="24"/>
          <w:szCs w:val="24"/>
        </w:rPr>
        <w:t xml:space="preserve"> </w:t>
      </w:r>
    </w:p>
    <w:p w14:paraId="4FFFBDFE" w14:textId="4E0D425C" w:rsidR="003B0A98" w:rsidRDefault="004F6B70" w:rsidP="004F6B70">
      <w:pPr>
        <w:tabs>
          <w:tab w:val="right" w:pos="9360"/>
        </w:tabs>
        <w:spacing w:after="0"/>
        <w:jc w:val="both"/>
        <w:rPr>
          <w:rFonts w:eastAsia="Times New Roman" w:cstheme="minorHAnsi"/>
          <w:color w:val="231F20"/>
          <w:sz w:val="24"/>
          <w:szCs w:val="24"/>
        </w:rPr>
      </w:pPr>
      <w:r>
        <w:rPr>
          <w:rFonts w:eastAsia="Times New Roman" w:cstheme="minorHAnsi"/>
          <w:color w:val="231F20"/>
          <w:sz w:val="24"/>
          <w:szCs w:val="24"/>
        </w:rPr>
        <w:tab/>
      </w:r>
    </w:p>
    <w:p w14:paraId="21E69FF4" w14:textId="66B3B3C8" w:rsidR="005F2AD8" w:rsidRPr="00CB4BA6" w:rsidRDefault="008A351B" w:rsidP="00310532">
      <w:pPr>
        <w:spacing w:after="0"/>
        <w:jc w:val="both"/>
        <w:rPr>
          <w:rFonts w:asciiTheme="majorBidi" w:hAnsiTheme="majorBidi" w:cstheme="majorBidi"/>
          <w:sz w:val="20"/>
          <w:szCs w:val="20"/>
        </w:rPr>
      </w:pPr>
      <w:r w:rsidRPr="00CB4BA6">
        <w:rPr>
          <w:rFonts w:asciiTheme="majorBidi" w:hAnsiTheme="majorBidi" w:cstheme="majorBidi"/>
          <w:sz w:val="20"/>
          <w:szCs w:val="20"/>
        </w:rPr>
        <w:t>Figure 2</w:t>
      </w:r>
      <w:r w:rsidR="005A2F9C" w:rsidRPr="00CB4BA6">
        <w:rPr>
          <w:rFonts w:asciiTheme="majorBidi" w:hAnsiTheme="majorBidi" w:cstheme="majorBidi"/>
          <w:sz w:val="20"/>
          <w:szCs w:val="20"/>
        </w:rPr>
        <w:t>:</w:t>
      </w:r>
      <w:r w:rsidR="009F52D1" w:rsidRPr="00CB4BA6">
        <w:rPr>
          <w:rFonts w:asciiTheme="majorBidi" w:hAnsiTheme="majorBidi" w:cstheme="majorBidi"/>
          <w:sz w:val="20"/>
          <w:szCs w:val="20"/>
        </w:rPr>
        <w:t xml:space="preserve"> </w:t>
      </w:r>
      <w:r w:rsidR="005F2AD8" w:rsidRPr="00CB4BA6">
        <w:rPr>
          <w:rFonts w:asciiTheme="majorBidi" w:hAnsiTheme="majorBidi" w:cstheme="majorBidi"/>
          <w:sz w:val="20"/>
          <w:szCs w:val="20"/>
        </w:rPr>
        <w:t xml:space="preserve"> </w:t>
      </w:r>
      <w:r w:rsidR="00C01B74" w:rsidRPr="00CB4BA6">
        <w:rPr>
          <w:rFonts w:asciiTheme="majorBidi" w:hAnsiTheme="majorBidi" w:cstheme="majorBidi"/>
          <w:sz w:val="20"/>
          <w:szCs w:val="20"/>
        </w:rPr>
        <w:t xml:space="preserve">Female </w:t>
      </w:r>
      <w:r w:rsidR="00EE3722" w:rsidRPr="00CB4BA6">
        <w:rPr>
          <w:rFonts w:asciiTheme="majorBidi" w:hAnsiTheme="majorBidi" w:cstheme="majorBidi"/>
          <w:sz w:val="20"/>
          <w:szCs w:val="20"/>
        </w:rPr>
        <w:t>patient,</w:t>
      </w:r>
      <w:r w:rsidR="00C01B74" w:rsidRPr="00CB4BA6">
        <w:rPr>
          <w:rFonts w:asciiTheme="majorBidi" w:hAnsiTheme="majorBidi" w:cstheme="majorBidi"/>
          <w:sz w:val="20"/>
          <w:szCs w:val="20"/>
        </w:rPr>
        <w:t xml:space="preserve"> 40 years </w:t>
      </w:r>
      <w:r w:rsidR="00EE3722" w:rsidRPr="00CB4BA6">
        <w:rPr>
          <w:rFonts w:asciiTheme="majorBidi" w:hAnsiTheme="majorBidi" w:cstheme="majorBidi"/>
          <w:sz w:val="20"/>
          <w:szCs w:val="20"/>
        </w:rPr>
        <w:t xml:space="preserve">old, with </w:t>
      </w:r>
      <w:r w:rsidR="00C01B74" w:rsidRPr="00CB4BA6">
        <w:rPr>
          <w:rFonts w:asciiTheme="majorBidi" w:hAnsiTheme="majorBidi" w:cstheme="majorBidi"/>
          <w:sz w:val="20"/>
          <w:szCs w:val="20"/>
        </w:rPr>
        <w:t xml:space="preserve">left radiculopathy </w:t>
      </w:r>
      <w:r w:rsidR="00EE3722" w:rsidRPr="00CB4BA6">
        <w:rPr>
          <w:rFonts w:asciiTheme="majorBidi" w:hAnsiTheme="majorBidi" w:cstheme="majorBidi"/>
          <w:sz w:val="20"/>
          <w:szCs w:val="20"/>
        </w:rPr>
        <w:t>not responding to conservative management.</w:t>
      </w:r>
    </w:p>
    <w:p w14:paraId="037BE5C9" w14:textId="26765BC5" w:rsidR="001D3C7B" w:rsidRPr="00CB4BA6" w:rsidRDefault="001D3C7B" w:rsidP="00310532">
      <w:pPr>
        <w:spacing w:after="0"/>
        <w:jc w:val="both"/>
        <w:rPr>
          <w:rFonts w:asciiTheme="majorBidi" w:hAnsiTheme="majorBidi" w:cstheme="majorBidi"/>
          <w:sz w:val="20"/>
          <w:szCs w:val="20"/>
        </w:rPr>
      </w:pPr>
      <w:r w:rsidRPr="00CB4BA6">
        <w:rPr>
          <w:rFonts w:asciiTheme="majorBidi" w:hAnsiTheme="majorBidi" w:cstheme="majorBidi"/>
          <w:sz w:val="20"/>
          <w:szCs w:val="20"/>
        </w:rPr>
        <w:t>*</w:t>
      </w:r>
      <w:r w:rsidR="00EE3722" w:rsidRPr="00CB4BA6">
        <w:rPr>
          <w:rFonts w:asciiTheme="majorBidi" w:hAnsiTheme="majorBidi" w:cstheme="majorBidi"/>
          <w:sz w:val="20"/>
          <w:szCs w:val="20"/>
        </w:rPr>
        <w:t xml:space="preserve"> MRI sagittal T2-WI (</w:t>
      </w:r>
      <w:r w:rsidR="005018AF" w:rsidRPr="00CB4BA6">
        <w:rPr>
          <w:rFonts w:asciiTheme="majorBidi" w:hAnsiTheme="majorBidi" w:cstheme="majorBidi"/>
          <w:sz w:val="20"/>
          <w:szCs w:val="20"/>
        </w:rPr>
        <w:t>A</w:t>
      </w:r>
      <w:r w:rsidR="00EE3722" w:rsidRPr="00CB4BA6">
        <w:rPr>
          <w:rFonts w:asciiTheme="majorBidi" w:hAnsiTheme="majorBidi" w:cstheme="majorBidi"/>
          <w:sz w:val="20"/>
          <w:szCs w:val="20"/>
        </w:rPr>
        <w:t>) and axial T2-WI (</w:t>
      </w:r>
      <w:r w:rsidR="005018AF" w:rsidRPr="00CB4BA6">
        <w:rPr>
          <w:rFonts w:asciiTheme="majorBidi" w:hAnsiTheme="majorBidi" w:cstheme="majorBidi"/>
          <w:sz w:val="20"/>
          <w:szCs w:val="20"/>
        </w:rPr>
        <w:t>B</w:t>
      </w:r>
      <w:r w:rsidR="00EE3722" w:rsidRPr="00CB4BA6">
        <w:rPr>
          <w:rFonts w:asciiTheme="majorBidi" w:hAnsiTheme="majorBidi" w:cstheme="majorBidi"/>
          <w:sz w:val="20"/>
          <w:szCs w:val="20"/>
        </w:rPr>
        <w:t xml:space="preserve">)showing </w:t>
      </w:r>
      <w:bookmarkStart w:id="11" w:name="_Hlk43980195"/>
      <w:r w:rsidR="00EE3722" w:rsidRPr="00CB4BA6">
        <w:rPr>
          <w:rFonts w:asciiTheme="majorBidi" w:hAnsiTheme="majorBidi" w:cstheme="majorBidi"/>
          <w:sz w:val="20"/>
          <w:szCs w:val="20"/>
        </w:rPr>
        <w:t xml:space="preserve">C5/6 </w:t>
      </w:r>
      <w:bookmarkEnd w:id="11"/>
      <w:r w:rsidR="00EE3722" w:rsidRPr="00CB4BA6">
        <w:rPr>
          <w:rFonts w:asciiTheme="majorBidi" w:hAnsiTheme="majorBidi" w:cstheme="majorBidi"/>
          <w:sz w:val="20"/>
          <w:szCs w:val="20"/>
        </w:rPr>
        <w:t>left posterolateral disc protrusion on top of diffuse disc bulge obliterating the anterior subarachnoid space and compromising the left neural exit pathway.</w:t>
      </w:r>
    </w:p>
    <w:p w14:paraId="4B60E0C5" w14:textId="50E50C1C" w:rsidR="008A351B" w:rsidRPr="00CB4BA6" w:rsidRDefault="001D3C7B" w:rsidP="008A351B">
      <w:pPr>
        <w:spacing w:after="0"/>
        <w:jc w:val="both"/>
        <w:rPr>
          <w:rFonts w:asciiTheme="majorBidi" w:hAnsiTheme="majorBidi" w:cstheme="majorBidi"/>
          <w:sz w:val="20"/>
          <w:szCs w:val="20"/>
        </w:rPr>
      </w:pPr>
      <w:r w:rsidRPr="00CB4BA6">
        <w:rPr>
          <w:rFonts w:asciiTheme="majorBidi" w:hAnsiTheme="majorBidi" w:cstheme="majorBidi"/>
          <w:sz w:val="20"/>
          <w:szCs w:val="20"/>
        </w:rPr>
        <w:t xml:space="preserve">** </w:t>
      </w:r>
      <w:r w:rsidR="0090646C" w:rsidRPr="00CB4BA6">
        <w:rPr>
          <w:rFonts w:asciiTheme="majorBidi" w:hAnsiTheme="majorBidi" w:cstheme="majorBidi"/>
          <w:sz w:val="20"/>
          <w:szCs w:val="20"/>
        </w:rPr>
        <w:t>Plain X-ray lateral view</w:t>
      </w:r>
      <w:r w:rsidR="005F2AD8" w:rsidRPr="00CB4BA6">
        <w:rPr>
          <w:rFonts w:asciiTheme="majorBidi" w:hAnsiTheme="majorBidi" w:cstheme="majorBidi"/>
          <w:sz w:val="20"/>
          <w:szCs w:val="20"/>
        </w:rPr>
        <w:t>s</w:t>
      </w:r>
      <w:r w:rsidR="0090646C" w:rsidRPr="00CB4BA6">
        <w:rPr>
          <w:rFonts w:asciiTheme="majorBidi" w:hAnsiTheme="majorBidi" w:cstheme="majorBidi"/>
          <w:sz w:val="20"/>
          <w:szCs w:val="20"/>
        </w:rPr>
        <w:t>, pre</w:t>
      </w:r>
      <w:r w:rsidR="005F2AD8" w:rsidRPr="00CB4BA6">
        <w:rPr>
          <w:rFonts w:asciiTheme="majorBidi" w:hAnsiTheme="majorBidi" w:cstheme="majorBidi"/>
          <w:sz w:val="20"/>
          <w:szCs w:val="20"/>
        </w:rPr>
        <w:t>-op;</w:t>
      </w:r>
      <w:r w:rsidR="0090646C" w:rsidRPr="00CB4BA6">
        <w:rPr>
          <w:rFonts w:asciiTheme="majorBidi" w:hAnsiTheme="majorBidi" w:cstheme="majorBidi"/>
          <w:sz w:val="20"/>
          <w:szCs w:val="20"/>
        </w:rPr>
        <w:t xml:space="preserve"> obliterated disc space at </w:t>
      </w:r>
      <w:bookmarkStart w:id="12" w:name="_Hlk43980569"/>
      <w:r w:rsidR="0090646C" w:rsidRPr="00CB4BA6">
        <w:rPr>
          <w:rFonts w:asciiTheme="majorBidi" w:hAnsiTheme="majorBidi" w:cstheme="majorBidi"/>
          <w:sz w:val="20"/>
          <w:szCs w:val="20"/>
        </w:rPr>
        <w:t xml:space="preserve">C5/6 </w:t>
      </w:r>
      <w:bookmarkEnd w:id="12"/>
      <w:r w:rsidR="0090646C" w:rsidRPr="00CB4BA6">
        <w:rPr>
          <w:rFonts w:asciiTheme="majorBidi" w:hAnsiTheme="majorBidi" w:cstheme="majorBidi"/>
          <w:sz w:val="20"/>
          <w:szCs w:val="20"/>
        </w:rPr>
        <w:t>(</w:t>
      </w:r>
      <w:r w:rsidR="005018AF" w:rsidRPr="00CB4BA6">
        <w:rPr>
          <w:rFonts w:asciiTheme="majorBidi" w:hAnsiTheme="majorBidi" w:cstheme="majorBidi"/>
          <w:sz w:val="20"/>
          <w:szCs w:val="20"/>
        </w:rPr>
        <w:t>C</w:t>
      </w:r>
      <w:r w:rsidR="0090646C" w:rsidRPr="00CB4BA6">
        <w:rPr>
          <w:rFonts w:asciiTheme="majorBidi" w:hAnsiTheme="majorBidi" w:cstheme="majorBidi"/>
          <w:sz w:val="20"/>
          <w:szCs w:val="20"/>
        </w:rPr>
        <w:t xml:space="preserve">), 24 hours after </w:t>
      </w:r>
      <w:r w:rsidR="005F2AD8" w:rsidRPr="00CB4BA6">
        <w:rPr>
          <w:rFonts w:asciiTheme="majorBidi" w:hAnsiTheme="majorBidi" w:cstheme="majorBidi"/>
          <w:sz w:val="20"/>
          <w:szCs w:val="20"/>
        </w:rPr>
        <w:t>surgery;</w:t>
      </w:r>
      <w:r w:rsidR="0090646C" w:rsidRPr="00CB4BA6">
        <w:rPr>
          <w:rFonts w:asciiTheme="majorBidi" w:hAnsiTheme="majorBidi" w:cstheme="majorBidi"/>
          <w:sz w:val="20"/>
          <w:szCs w:val="20"/>
        </w:rPr>
        <w:t xml:space="preserve"> peek cage filled with BCP with restoration of disc space height</w:t>
      </w:r>
      <w:r w:rsidR="00B24DC8" w:rsidRPr="00CB4BA6">
        <w:rPr>
          <w:rFonts w:asciiTheme="majorBidi" w:hAnsiTheme="majorBidi" w:cstheme="majorBidi"/>
          <w:sz w:val="20"/>
          <w:szCs w:val="20"/>
        </w:rPr>
        <w:t xml:space="preserve"> </w:t>
      </w:r>
      <w:r w:rsidR="0090646C" w:rsidRPr="00CB4BA6">
        <w:rPr>
          <w:rFonts w:asciiTheme="majorBidi" w:hAnsiTheme="majorBidi" w:cstheme="majorBidi"/>
          <w:sz w:val="20"/>
          <w:szCs w:val="20"/>
        </w:rPr>
        <w:t>(</w:t>
      </w:r>
      <w:r w:rsidR="005018AF" w:rsidRPr="00CB4BA6">
        <w:rPr>
          <w:rFonts w:asciiTheme="majorBidi" w:hAnsiTheme="majorBidi" w:cstheme="majorBidi"/>
          <w:sz w:val="20"/>
          <w:szCs w:val="20"/>
        </w:rPr>
        <w:t>D</w:t>
      </w:r>
      <w:r w:rsidR="005F2AD8" w:rsidRPr="00CB4BA6">
        <w:rPr>
          <w:rFonts w:asciiTheme="majorBidi" w:hAnsiTheme="majorBidi" w:cstheme="majorBidi"/>
          <w:sz w:val="20"/>
          <w:szCs w:val="20"/>
        </w:rPr>
        <w:t>),</w:t>
      </w:r>
      <w:r w:rsidR="00B24DC8" w:rsidRPr="00CB4BA6">
        <w:rPr>
          <w:rFonts w:asciiTheme="majorBidi" w:hAnsiTheme="majorBidi" w:cstheme="majorBidi"/>
          <w:sz w:val="20"/>
          <w:szCs w:val="20"/>
        </w:rPr>
        <w:t xml:space="preserve"> 12 months post -</w:t>
      </w:r>
      <w:r w:rsidR="005F2AD8" w:rsidRPr="00CB4BA6">
        <w:rPr>
          <w:rFonts w:asciiTheme="majorBidi" w:hAnsiTheme="majorBidi" w:cstheme="majorBidi"/>
          <w:sz w:val="20"/>
          <w:szCs w:val="20"/>
        </w:rPr>
        <w:t>op;</w:t>
      </w:r>
      <w:r w:rsidR="00B24DC8" w:rsidRPr="00CB4BA6">
        <w:rPr>
          <w:rFonts w:asciiTheme="majorBidi" w:hAnsiTheme="majorBidi" w:cstheme="majorBidi"/>
          <w:sz w:val="20"/>
          <w:szCs w:val="20"/>
        </w:rPr>
        <w:t xml:space="preserve"> bone fusion</w:t>
      </w:r>
      <w:r w:rsidR="005269D8" w:rsidRPr="00CB4BA6">
        <w:rPr>
          <w:rFonts w:asciiTheme="majorBidi" w:hAnsiTheme="majorBidi" w:cstheme="majorBidi"/>
          <w:sz w:val="20"/>
          <w:szCs w:val="20"/>
        </w:rPr>
        <w:t xml:space="preserve"> seen</w:t>
      </w:r>
      <w:r w:rsidR="00B24DC8" w:rsidRPr="00CB4BA6">
        <w:rPr>
          <w:rFonts w:asciiTheme="majorBidi" w:hAnsiTheme="majorBidi" w:cstheme="majorBidi"/>
          <w:sz w:val="20"/>
          <w:szCs w:val="20"/>
        </w:rPr>
        <w:t xml:space="preserve"> inside the cavity of the cage adjoining the </w:t>
      </w:r>
      <w:r w:rsidR="005F2AD8" w:rsidRPr="00CB4BA6">
        <w:rPr>
          <w:rFonts w:asciiTheme="majorBidi" w:hAnsiTheme="majorBidi" w:cstheme="majorBidi"/>
          <w:sz w:val="20"/>
          <w:szCs w:val="20"/>
        </w:rPr>
        <w:t>adjacent</w:t>
      </w:r>
      <w:r w:rsidR="00B24DC8" w:rsidRPr="00CB4BA6">
        <w:rPr>
          <w:rFonts w:asciiTheme="majorBidi" w:hAnsiTheme="majorBidi" w:cstheme="majorBidi"/>
          <w:sz w:val="20"/>
          <w:szCs w:val="20"/>
        </w:rPr>
        <w:t xml:space="preserve"> vertebral </w:t>
      </w:r>
      <w:r w:rsidR="004057D4" w:rsidRPr="00CB4BA6">
        <w:rPr>
          <w:rFonts w:asciiTheme="majorBidi" w:hAnsiTheme="majorBidi" w:cstheme="majorBidi"/>
          <w:sz w:val="20"/>
          <w:szCs w:val="20"/>
        </w:rPr>
        <w:t>endplates with</w:t>
      </w:r>
      <w:r w:rsidR="005F2AD8" w:rsidRPr="00CB4BA6">
        <w:rPr>
          <w:rFonts w:asciiTheme="majorBidi" w:hAnsiTheme="majorBidi" w:cstheme="majorBidi"/>
          <w:sz w:val="20"/>
          <w:szCs w:val="20"/>
        </w:rPr>
        <w:t xml:space="preserve"> loss of radiolucency at bone</w:t>
      </w:r>
      <w:r w:rsidR="003B03C6" w:rsidRPr="00CB4BA6">
        <w:rPr>
          <w:rFonts w:asciiTheme="majorBidi" w:hAnsiTheme="majorBidi" w:cstheme="majorBidi"/>
          <w:sz w:val="20"/>
          <w:szCs w:val="20"/>
        </w:rPr>
        <w:t>-graft</w:t>
      </w:r>
      <w:r w:rsidR="005F2AD8" w:rsidRPr="00CB4BA6">
        <w:rPr>
          <w:rFonts w:asciiTheme="majorBidi" w:hAnsiTheme="majorBidi" w:cstheme="majorBidi"/>
          <w:sz w:val="20"/>
          <w:szCs w:val="20"/>
        </w:rPr>
        <w:t xml:space="preserve"> interface</w:t>
      </w:r>
      <w:r w:rsidR="00835A6B" w:rsidRPr="00CB4BA6">
        <w:rPr>
          <w:rFonts w:asciiTheme="majorBidi" w:hAnsiTheme="majorBidi" w:cstheme="majorBidi"/>
          <w:sz w:val="20"/>
          <w:szCs w:val="20"/>
        </w:rPr>
        <w:t xml:space="preserve"> (</w:t>
      </w:r>
      <w:r w:rsidR="005018AF" w:rsidRPr="00CB4BA6">
        <w:rPr>
          <w:rFonts w:asciiTheme="majorBidi" w:hAnsiTheme="majorBidi" w:cstheme="majorBidi"/>
          <w:sz w:val="20"/>
          <w:szCs w:val="20"/>
        </w:rPr>
        <w:t>E</w:t>
      </w:r>
      <w:r w:rsidR="00835A6B" w:rsidRPr="00CB4BA6">
        <w:rPr>
          <w:rFonts w:asciiTheme="majorBidi" w:hAnsiTheme="majorBidi" w:cstheme="majorBidi"/>
          <w:sz w:val="20"/>
          <w:szCs w:val="20"/>
        </w:rPr>
        <w:t>)</w:t>
      </w:r>
    </w:p>
    <w:p w14:paraId="01C69EB8" w14:textId="3BC3ADF8" w:rsidR="00DE13BF" w:rsidRDefault="00DE13BF" w:rsidP="008A351B">
      <w:pPr>
        <w:spacing w:after="0"/>
        <w:jc w:val="both"/>
        <w:rPr>
          <w:rFonts w:eastAsia="Times New Roman" w:cstheme="minorHAnsi"/>
          <w:color w:val="231F20"/>
          <w:sz w:val="20"/>
          <w:szCs w:val="20"/>
        </w:rPr>
      </w:pPr>
    </w:p>
    <w:p w14:paraId="50F6A94E" w14:textId="77777777" w:rsidR="00DE13BF" w:rsidRPr="00DE13BF" w:rsidRDefault="00DE13BF" w:rsidP="00CB4BA6">
      <w:pPr>
        <w:autoSpaceDE w:val="0"/>
        <w:autoSpaceDN w:val="0"/>
        <w:bidi/>
        <w:adjustRightInd w:val="0"/>
        <w:spacing w:after="0" w:line="240" w:lineRule="auto"/>
        <w:jc w:val="right"/>
        <w:rPr>
          <w:rFonts w:ascii="Times New Roman" w:eastAsia="Times New Roman" w:hAnsi="Times New Roman" w:cs="Times New Roman"/>
          <w:b/>
          <w:bCs/>
          <w:color w:val="231F20"/>
          <w:sz w:val="24"/>
          <w:szCs w:val="24"/>
        </w:rPr>
      </w:pPr>
      <w:r w:rsidRPr="00DE13BF">
        <w:rPr>
          <w:rFonts w:ascii="Times New Roman" w:eastAsia="Times New Roman" w:hAnsi="Times New Roman" w:cs="Times New Roman"/>
          <w:b/>
          <w:bCs/>
          <w:color w:val="231F20"/>
          <w:sz w:val="24"/>
          <w:szCs w:val="24"/>
        </w:rPr>
        <w:t>Discussion</w:t>
      </w:r>
    </w:p>
    <w:p w14:paraId="21C9F2A0" w14:textId="77777777" w:rsidR="00DE13BF" w:rsidRPr="00DE13BF" w:rsidRDefault="00DE13BF" w:rsidP="00CB4BA6">
      <w:pPr>
        <w:autoSpaceDE w:val="0"/>
        <w:autoSpaceDN w:val="0"/>
        <w:bidi/>
        <w:adjustRightInd w:val="0"/>
        <w:spacing w:after="0" w:line="240" w:lineRule="auto"/>
        <w:jc w:val="right"/>
        <w:rPr>
          <w:rFonts w:ascii="Times New Roman" w:eastAsia="Times New Roman" w:hAnsi="Times New Roman" w:cs="Times New Roman"/>
          <w:color w:val="231F20"/>
          <w:sz w:val="24"/>
          <w:szCs w:val="24"/>
          <w:rtl/>
        </w:rPr>
      </w:pPr>
      <w:r w:rsidRPr="00DE13BF">
        <w:rPr>
          <w:rFonts w:ascii="Times New Roman" w:eastAsia="Times New Roman" w:hAnsi="Times New Roman" w:cs="Times New Roman"/>
          <w:color w:val="231F20"/>
          <w:sz w:val="24"/>
          <w:szCs w:val="24"/>
        </w:rPr>
        <w:t xml:space="preserve">The creation of intervertebral cages with bone graft substitute technologies has been developed to minimize or eliminate complications of the use of autograft and allograft with the aim of improving clinical outcomes.[11]  </w:t>
      </w:r>
    </w:p>
    <w:p w14:paraId="5B6D9D12" w14:textId="77777777" w:rsidR="00DE13BF" w:rsidRPr="00DE13BF" w:rsidRDefault="00DE13BF" w:rsidP="00CB4BA6">
      <w:pPr>
        <w:autoSpaceDE w:val="0"/>
        <w:autoSpaceDN w:val="0"/>
        <w:adjustRightInd w:val="0"/>
        <w:spacing w:after="0" w:line="240" w:lineRule="auto"/>
        <w:jc w:val="both"/>
        <w:rPr>
          <w:rFonts w:ascii="Times New Roman" w:eastAsia="Times New Roman" w:hAnsi="Times New Roman" w:cs="Times New Roman"/>
          <w:color w:val="231F20"/>
          <w:sz w:val="24"/>
          <w:szCs w:val="24"/>
          <w:rtl/>
        </w:rPr>
      </w:pPr>
      <w:r w:rsidRPr="00DE13BF">
        <w:rPr>
          <w:rFonts w:ascii="Times New Roman" w:eastAsia="Times New Roman" w:hAnsi="Times New Roman" w:cs="Times New Roman"/>
          <w:color w:val="231F20"/>
          <w:sz w:val="24"/>
          <w:szCs w:val="24"/>
        </w:rPr>
        <w:t>Silber et al., evaluated iliac crest bone graft site morbidity in 1-level ACDF, they found that 26.1% of patients had pain at donor site, and 15.7% had numbness. Other complications, which occurred at lower rates, including bruising, hematoma, pelvic fracture, and poor cosmesis. Also, osteoporosis and comorbid conditions made it a challenge to acquire iliac crest autograft, contributing to the popularity of alternative substrates. [21]</w:t>
      </w:r>
    </w:p>
    <w:p w14:paraId="172F972E" w14:textId="77777777" w:rsidR="00DE13BF" w:rsidRPr="00DE13BF" w:rsidRDefault="00DE13BF" w:rsidP="00CB4BA6">
      <w:pPr>
        <w:shd w:val="clear" w:color="auto" w:fill="FFFFFF"/>
        <w:spacing w:after="0" w:line="240" w:lineRule="auto"/>
        <w:jc w:val="both"/>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There are various types of cervical cages, and various materials are used for filling the cages, controversy exists regarding the type of filling material in the cage. [22] several acceptable and promising graft options for ACDF have</w:t>
      </w:r>
      <w:r w:rsidRPr="00DE13BF">
        <w:rPr>
          <w:rFonts w:ascii="Times New Roman" w:eastAsia="Times New Roman" w:hAnsi="Times New Roman" w:cs="Times New Roman"/>
          <w:color w:val="231F20"/>
          <w:sz w:val="24"/>
          <w:szCs w:val="24"/>
          <w:rtl/>
        </w:rPr>
        <w:t xml:space="preserve"> </w:t>
      </w:r>
      <w:r w:rsidRPr="00DE13BF">
        <w:rPr>
          <w:rFonts w:ascii="Times New Roman" w:eastAsia="Times New Roman" w:hAnsi="Times New Roman" w:cs="Times New Roman"/>
          <w:color w:val="231F20"/>
          <w:sz w:val="24"/>
          <w:szCs w:val="24"/>
        </w:rPr>
        <w:t xml:space="preserve">been studied for their effectiveness but currently no option </w:t>
      </w:r>
      <w:r w:rsidRPr="00DE13BF">
        <w:rPr>
          <w:rFonts w:ascii="Times New Roman" w:eastAsia="Times New Roman" w:hAnsi="Times New Roman" w:cs="Times New Roman"/>
          <w:color w:val="231F20"/>
          <w:sz w:val="24"/>
          <w:szCs w:val="24"/>
        </w:rPr>
        <w:lastRenderedPageBreak/>
        <w:t>is conclusively superior to autograft and this partly due to shortcomings in the literature, as many studies had suboptimal study design, e.g. were small, retrospective, or non-randomized and also, there is  no standard criteria for evaluating radiographic  bony fusion and clinical outcome which creates heterogeneity of studies.[23] These inconsistencies made direct comparative analysis very difficult.</w:t>
      </w:r>
    </w:p>
    <w:p w14:paraId="17C778CF" w14:textId="77777777" w:rsidR="00DE13BF" w:rsidRPr="00DE13BF" w:rsidRDefault="00DE13BF" w:rsidP="00CB4BA6">
      <w:pPr>
        <w:autoSpaceDE w:val="0"/>
        <w:autoSpaceDN w:val="0"/>
        <w:bidi/>
        <w:adjustRightInd w:val="0"/>
        <w:spacing w:after="0" w:line="240" w:lineRule="auto"/>
        <w:jc w:val="both"/>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 xml:space="preserve">And also from review of literature,[22,24 , 25] regarding one level ACDF we can notice that there is no general consensus regarding the type of cervical cage and the material that could be used for  filling the cage that might be autograft , allograft, or synthetic bone graft substitute, there are many options,  and we found the studies comparing these constructs are lacking, also using anterior plate or not in one level ACDF remains debatable, and now  how all these variables including different types of cervical cage ,different  graft options for filling the cage and use or not of anterior plate instrumentation in one level ACDF  could be reflected on the radiological results and most importantly on clinical outcome of the patients remain questionable for further ongoing clinical investigation.                                                                                                                                      </w:t>
      </w:r>
    </w:p>
    <w:p w14:paraId="5A726069" w14:textId="77777777" w:rsidR="00DE13BF" w:rsidRPr="00DE13BF" w:rsidRDefault="00DE13BF" w:rsidP="00CB4BA6">
      <w:pPr>
        <w:shd w:val="clear" w:color="auto" w:fill="FFFFFF"/>
        <w:spacing w:after="0" w:line="240" w:lineRule="auto"/>
        <w:jc w:val="both"/>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 xml:space="preserve">Many studies define success using radiographic parameters, but it is important to note that these do not necessarily correlate to clinical outcomes. [26] Evaluation of interbody fusion remains a challenge and there are no universally accepted criteria for determining radiological fusion.[27] </w:t>
      </w:r>
    </w:p>
    <w:p w14:paraId="70E9735C" w14:textId="77777777" w:rsidR="00DE13BF" w:rsidRPr="00DE13BF" w:rsidRDefault="00DE13BF" w:rsidP="00CB4BA6">
      <w:pPr>
        <w:autoSpaceDE w:val="0"/>
        <w:autoSpaceDN w:val="0"/>
        <w:adjustRightInd w:val="0"/>
        <w:spacing w:after="0" w:line="240" w:lineRule="auto"/>
        <w:jc w:val="both"/>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 xml:space="preserve">we considered bone fusion successful if bridging bone incorporating the graft and adjoining vertebral endplates was apparent, with loss of radiolucency at the bone‐graft interface in lateral plain X-ray cervical spine obtained one year after surgery.[19] This assessment was done and approved by the 3 participating authors for all included patients.  </w:t>
      </w:r>
    </w:p>
    <w:p w14:paraId="46FB7ABF" w14:textId="77777777" w:rsidR="00DE13BF" w:rsidRPr="00DE13BF" w:rsidRDefault="00DE13BF" w:rsidP="00CB4BA6">
      <w:pPr>
        <w:autoSpaceDE w:val="0"/>
        <w:autoSpaceDN w:val="0"/>
        <w:bidi/>
        <w:adjustRightInd w:val="0"/>
        <w:spacing w:after="0" w:line="240" w:lineRule="auto"/>
        <w:jc w:val="both"/>
        <w:rPr>
          <w:rFonts w:ascii="Times New Roman" w:eastAsia="Times New Roman" w:hAnsi="Times New Roman" w:cs="Times New Roman"/>
          <w:color w:val="231F20"/>
          <w:sz w:val="24"/>
          <w:szCs w:val="24"/>
          <w:rtl/>
        </w:rPr>
      </w:pPr>
      <w:r w:rsidRPr="00DE13BF">
        <w:rPr>
          <w:rFonts w:ascii="Times New Roman" w:eastAsia="Times New Roman" w:hAnsi="Times New Roman" w:cs="Times New Roman"/>
          <w:color w:val="231F20"/>
          <w:sz w:val="24"/>
          <w:szCs w:val="24"/>
        </w:rPr>
        <w:t xml:space="preserve">As CT scanning at regular follow up visits for routine evaluation of bone fusion was deemed to be unnecessary, costly and potentially harmful to patients, CT scan was planned only for cases of unexpected/poor clinical outcomes and/ or recurrence of symptoms to verify the fusion at the operated level, [20] and because of this and our satisfactory clinical outcome, we didn’t need to    do post-operative CT scan. We agree that this may result in a higher apparent fusion rate.               </w:t>
      </w:r>
    </w:p>
    <w:p w14:paraId="38A0C1A3" w14:textId="77777777" w:rsidR="00DE13BF" w:rsidRPr="00DE13BF" w:rsidRDefault="00DE13BF" w:rsidP="00CB4BA6">
      <w:pPr>
        <w:autoSpaceDE w:val="0"/>
        <w:autoSpaceDN w:val="0"/>
        <w:adjustRightInd w:val="0"/>
        <w:spacing w:after="0" w:line="240" w:lineRule="auto"/>
        <w:jc w:val="both"/>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 xml:space="preserve">one-year post -op., all patients showed variable degree of improvement in their symptoms and had no new neurologic deficit. 3 patients of the 4 with pre-op. motor weakness improved to full motor power while the fourth patient had same motor power as before surgery unchanged during follow up.  </w:t>
      </w:r>
    </w:p>
    <w:p w14:paraId="0A31524D" w14:textId="77777777" w:rsidR="00DE13BF" w:rsidRPr="00DE13BF" w:rsidRDefault="00DE13BF" w:rsidP="00CB4BA6">
      <w:pPr>
        <w:autoSpaceDE w:val="0"/>
        <w:autoSpaceDN w:val="0"/>
        <w:adjustRightInd w:val="0"/>
        <w:spacing w:after="0" w:line="240" w:lineRule="auto"/>
        <w:jc w:val="both"/>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The pre-op. mean VAS for neck pain was 7.37±1.74 and one-year post-op. was improved to 2.95±1.27. This difference was statistically significant at P&lt;0.001. Similarly, we found statistically significant reduction in VAS scores for arm pain 1-year post-op. as compared to pre-op. (7.96 ±1.24 vs. 2.21 ±1.01; P&lt;0.001)</w:t>
      </w:r>
      <w:r w:rsidRPr="00DE13BF">
        <w:rPr>
          <w:rFonts w:ascii="Times New Roman" w:eastAsia="Times New Roman" w:hAnsi="Times New Roman" w:cs="Times New Roman"/>
          <w:color w:val="231F20"/>
          <w:sz w:val="24"/>
          <w:szCs w:val="24"/>
          <w:rtl/>
        </w:rPr>
        <w:t xml:space="preserve">. </w:t>
      </w:r>
      <w:r w:rsidRPr="00DE13BF">
        <w:rPr>
          <w:rFonts w:ascii="Times New Roman" w:eastAsia="Times New Roman" w:hAnsi="Times New Roman" w:cs="Times New Roman"/>
          <w:color w:val="231F20"/>
          <w:sz w:val="24"/>
          <w:szCs w:val="24"/>
        </w:rPr>
        <w:t>The average improvement rate was 59.01% (±17.28) for neck pain and 71.87% (±13.79) for arm pain.</w:t>
      </w:r>
    </w:p>
    <w:p w14:paraId="212EFD69" w14:textId="77777777" w:rsidR="00DE13BF" w:rsidRPr="00DE13BF" w:rsidRDefault="00DE13BF" w:rsidP="00CB4BA6">
      <w:pPr>
        <w:autoSpaceDE w:val="0"/>
        <w:autoSpaceDN w:val="0"/>
        <w:bidi/>
        <w:adjustRightInd w:val="0"/>
        <w:spacing w:after="0" w:line="240" w:lineRule="auto"/>
        <w:jc w:val="both"/>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 xml:space="preserve">15 patients (78.9%) had excellent outcomes and 4 patients (21.05%) had good outcomes according to the Odom clinical outcome scoring system, and by using the Patient Satisfaction Index (PSI). 16 patients (84.21%) stated that Surgery met their expectations and 3 patients (15.79%) reported that they did not improve as much as they had hoped but they would undergo the same operation for the same results.                                                                                                                             </w:t>
      </w:r>
    </w:p>
    <w:p w14:paraId="22BC69C8" w14:textId="77777777" w:rsidR="00DE13BF" w:rsidRPr="00DE13BF" w:rsidRDefault="00DE13BF" w:rsidP="00CB4BA6">
      <w:pPr>
        <w:autoSpaceDE w:val="0"/>
        <w:autoSpaceDN w:val="0"/>
        <w:bidi/>
        <w:adjustRightInd w:val="0"/>
        <w:spacing w:after="0" w:line="240" w:lineRule="auto"/>
        <w:jc w:val="both"/>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 xml:space="preserve">one year after surgery, 17 levels (89.47 %) of the operated 19 levels showed bone fusion according to our study criteria, while 2 levels (10.53 %) showed nonunion. The two patients with non-union, one of them had excellent outcome and the other one had good outcome and because of that, additional surgery was not planned.                                                                                                    </w:t>
      </w:r>
    </w:p>
    <w:p w14:paraId="3132DFD2" w14:textId="77777777" w:rsidR="00DE13BF" w:rsidRPr="00DE13BF" w:rsidRDefault="00DE13BF" w:rsidP="00CB4BA6">
      <w:pPr>
        <w:shd w:val="clear" w:color="auto" w:fill="FFFFFF"/>
        <w:spacing w:after="0" w:line="240" w:lineRule="auto"/>
        <w:jc w:val="both"/>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lastRenderedPageBreak/>
        <w:t>Although, nonunion has been reported as complication of ACDF using stand-alone cages, the use of a stand-alone cage has become popular, and many reports have described its effectiveness such as stability, restoration of the disc height, and facilitation of bone fusion [7,28,29]</w:t>
      </w:r>
    </w:p>
    <w:p w14:paraId="07C13DAE" w14:textId="77777777" w:rsidR="00DE13BF" w:rsidRPr="00DE13BF" w:rsidRDefault="00DE13BF" w:rsidP="00CB4BA6">
      <w:pPr>
        <w:shd w:val="clear" w:color="auto" w:fill="FFFFFF"/>
        <w:spacing w:after="0" w:line="240" w:lineRule="auto"/>
        <w:jc w:val="both"/>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 xml:space="preserve">Here we present some clinical trials studied ACDF, although they have used different alternatives for filling standalone cervical cages, the results of our study are comparable to their bone fusion results and clinical outcome. </w:t>
      </w:r>
    </w:p>
    <w:p w14:paraId="1B67ED24" w14:textId="77777777" w:rsidR="00DE13BF" w:rsidRPr="00DE13BF" w:rsidRDefault="00DE13BF" w:rsidP="00CB4BA6">
      <w:pPr>
        <w:autoSpaceDE w:val="0"/>
        <w:autoSpaceDN w:val="0"/>
        <w:bidi/>
        <w:adjustRightInd w:val="0"/>
        <w:spacing w:after="0" w:line="240" w:lineRule="auto"/>
        <w:jc w:val="both"/>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 xml:space="preserve">Bartels et al., reported that after using of stand-alone cages packed with autologous cancellous iliac crest, nonunion occurred in 4.3%. [30] In a similar study of stand-alone cage packed with cancellous iliac bone graft by Yang et al, they reported that nonunion occurred in 14.9% [29] However, according to their reports, in spite of the risk of nonunion, clinical outcomes were         good in the nonunion groups.                                                                                                                                               </w:t>
      </w:r>
    </w:p>
    <w:p w14:paraId="7D014901" w14:textId="77777777" w:rsidR="00DE13BF" w:rsidRPr="00DE13BF" w:rsidRDefault="00DE13BF" w:rsidP="00CB4BA6">
      <w:pPr>
        <w:autoSpaceDE w:val="0"/>
        <w:autoSpaceDN w:val="0"/>
        <w:adjustRightInd w:val="0"/>
        <w:spacing w:after="0" w:line="240" w:lineRule="auto"/>
        <w:jc w:val="both"/>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A stand-alone cage filled with local auto- graft has been used recently for ACDF with favorable results. [7,29]. However, nonunion was reported as a complication of this procedure. [31,32]</w:t>
      </w:r>
    </w:p>
    <w:p w14:paraId="355A9DC8" w14:textId="77777777" w:rsidR="00DE13BF" w:rsidRPr="00DE13BF" w:rsidRDefault="00DE13BF" w:rsidP="00CB4BA6">
      <w:pPr>
        <w:autoSpaceDE w:val="0"/>
        <w:autoSpaceDN w:val="0"/>
        <w:adjustRightInd w:val="0"/>
        <w:spacing w:after="0" w:line="240" w:lineRule="auto"/>
        <w:jc w:val="both"/>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 xml:space="preserve"> According to Shad et al, ACDF with a stand-alone cage packed with local bone graft has good clinical and radiological outcomes without iliac donor site morbidity and high additional costs.[24] In the study by Park et al., they did single level ACDF using a stand-alone PEEK cage packed with local auto-bone in treatment of degenerative cervical disc disease, a bone fusion rate (90.3%) was achieved, and despite the occurrence of nonunion, clinical outcomes of all patients with nonunion were excellent or good, according to Odom’s criteria, thus additional surgery was not performed.[33] our results are similar to park et al., with bone fusion rate 89.47% and excellent to good clinical outcome although we used BCP as a filling material of stand-alone peek cage.</w:t>
      </w:r>
    </w:p>
    <w:p w14:paraId="7063C337" w14:textId="77777777" w:rsidR="00DE13BF" w:rsidRPr="00DE13BF" w:rsidRDefault="00DE13BF" w:rsidP="00CB4BA6">
      <w:pPr>
        <w:spacing w:after="0" w:line="240" w:lineRule="auto"/>
        <w:jc w:val="both"/>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 xml:space="preserve">The anterior plate has several advantages in ACDF  as it  increase stability, prevent extrusion of the graft and increase fusion rate, but it has high additional costs and risk of hardware failure.[25] Although anterior </w:t>
      </w:r>
      <w:hyperlink r:id="rId16" w:tooltip="Learn more about Plate Fixation from ScienceDirect's AI-generated Topic Pages" w:history="1">
        <w:r w:rsidRPr="00DE13BF">
          <w:rPr>
            <w:rFonts w:ascii="Times New Roman" w:eastAsia="Times New Roman" w:hAnsi="Times New Roman" w:cs="Times New Roman"/>
            <w:color w:val="231F20"/>
            <w:sz w:val="24"/>
            <w:szCs w:val="24"/>
          </w:rPr>
          <w:t>plate fixation</w:t>
        </w:r>
      </w:hyperlink>
      <w:r w:rsidRPr="00DE13BF">
        <w:rPr>
          <w:rFonts w:ascii="Times New Roman" w:eastAsia="Times New Roman" w:hAnsi="Times New Roman" w:cs="Times New Roman"/>
          <w:color w:val="231F20"/>
          <w:sz w:val="24"/>
          <w:szCs w:val="24"/>
        </w:rPr>
        <w:t> enhances the fusion rate in multilevel ACDF, debate exists regarding efficacy of non-plating to plating  fixation in one-level ACDF.[15]</w:t>
      </w:r>
    </w:p>
    <w:p w14:paraId="3E4512B6" w14:textId="77777777" w:rsidR="00DE13BF" w:rsidRPr="00DE13BF" w:rsidRDefault="00DE13BF" w:rsidP="00CB4BA6">
      <w:pPr>
        <w:shd w:val="clear" w:color="auto" w:fill="FFFFFF"/>
        <w:spacing w:after="0" w:line="240" w:lineRule="auto"/>
        <w:jc w:val="both"/>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The fusion rates of single level ACDF at 1-year follow up are 97.1% in patients treated with anterior plates and 92.1% in patients treated with non- platted fusion according to a 2007 meta-analysis.[23]</w:t>
      </w:r>
    </w:p>
    <w:p w14:paraId="7AEBA229" w14:textId="77777777" w:rsidR="00DE13BF" w:rsidRPr="00DE13BF" w:rsidRDefault="00DE13BF" w:rsidP="00CB4BA6">
      <w:pPr>
        <w:autoSpaceDE w:val="0"/>
        <w:autoSpaceDN w:val="0"/>
        <w:bidi/>
        <w:adjustRightInd w:val="0"/>
        <w:spacing w:after="0" w:line="240" w:lineRule="auto"/>
        <w:jc w:val="both"/>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 xml:space="preserve">in the study by Pitzen et al, they reported 91.3% fusion rate, using local auto-bone grafts and anterior plate system.[25] on the other hand Park et al, after single level ACDF using a stand-alone PEEK Cage packed with local auto-bone reported a comparable fusion rate (90.3%) without using plate system   along with excellent or good clinical outcomes.[33] Also, our fusion rate and clinical results are similar to park et al., although we used BCP as a filling material .                                                                                                                                                          </w:t>
      </w:r>
      <w:hyperlink r:id="rId17" w:history="1">
        <w:r w:rsidRPr="00DE13BF">
          <w:rPr>
            <w:rFonts w:ascii="Times New Roman" w:eastAsia="Times New Roman" w:hAnsi="Times New Roman" w:cs="Times New Roman"/>
            <w:color w:val="231F20"/>
            <w:sz w:val="24"/>
            <w:szCs w:val="24"/>
          </w:rPr>
          <w:t xml:space="preserve">Wright </w:t>
        </w:r>
      </w:hyperlink>
      <w:r w:rsidRPr="00DE13BF">
        <w:rPr>
          <w:rFonts w:ascii="Times New Roman" w:eastAsia="Times New Roman" w:hAnsi="Times New Roman" w:cs="Times New Roman"/>
          <w:color w:val="231F20"/>
          <w:sz w:val="24"/>
          <w:szCs w:val="24"/>
        </w:rPr>
        <w:t xml:space="preserve">, et al. studied one level ACDF without instrumentation using a tricortical autogenous iliac crest bone block inserted under compression and postoperative semirigid neck collar for 2 months. They reported that in 54 patients, there were 6 pseudarthroses (11%).[34] This is similar to nonunion rate in our study (10.52%) meanwhile we avoided possible donor site complications.                                                                                                                                                  </w:t>
      </w:r>
    </w:p>
    <w:p w14:paraId="3CB8FB20" w14:textId="10822A79" w:rsidR="00DE13BF" w:rsidRPr="00DE13BF" w:rsidRDefault="00FE3ADF" w:rsidP="00CB4BA6">
      <w:pPr>
        <w:shd w:val="clear" w:color="auto" w:fill="FFFFFF"/>
        <w:spacing w:after="0" w:line="240" w:lineRule="auto"/>
        <w:jc w:val="both"/>
        <w:outlineLvl w:val="0"/>
        <w:rPr>
          <w:rFonts w:ascii="Times New Roman" w:eastAsia="Times New Roman" w:hAnsi="Times New Roman" w:cs="Times New Roman"/>
          <w:color w:val="231F20"/>
          <w:sz w:val="24"/>
          <w:szCs w:val="24"/>
        </w:rPr>
      </w:pPr>
      <w:hyperlink r:id="rId18" w:history="1">
        <w:r w:rsidR="00DE13BF" w:rsidRPr="00DE13BF">
          <w:rPr>
            <w:rFonts w:ascii="Times New Roman" w:eastAsia="Times New Roman" w:hAnsi="Times New Roman" w:cs="Times New Roman"/>
            <w:color w:val="231F20"/>
            <w:sz w:val="24"/>
            <w:szCs w:val="24"/>
          </w:rPr>
          <w:t>Samartzis</w:t>
        </w:r>
      </w:hyperlink>
      <w:r w:rsidR="00DE13BF" w:rsidRPr="00DE13BF">
        <w:rPr>
          <w:rFonts w:ascii="Times New Roman" w:eastAsia="Times New Roman" w:hAnsi="Times New Roman" w:cs="Times New Roman"/>
          <w:color w:val="231F20"/>
          <w:sz w:val="24"/>
          <w:szCs w:val="24"/>
        </w:rPr>
        <w:t> </w:t>
      </w:r>
      <w:hyperlink r:id="rId19" w:anchor="affiliation-1" w:history="1"/>
      <w:r w:rsidR="00DE13BF" w:rsidRPr="00DE13BF">
        <w:rPr>
          <w:rFonts w:ascii="Times New Roman" w:eastAsia="Times New Roman" w:hAnsi="Times New Roman" w:cs="Times New Roman"/>
          <w:color w:val="231F20"/>
          <w:sz w:val="24"/>
          <w:szCs w:val="24"/>
        </w:rPr>
        <w:t xml:space="preserve"> et al., reviewed ,69 patients </w:t>
      </w:r>
      <w:r w:rsidR="00196054" w:rsidRPr="00CB4BA6">
        <w:rPr>
          <w:rFonts w:ascii="Times New Roman" w:eastAsia="Times New Roman" w:hAnsi="Times New Roman" w:cs="Times New Roman"/>
          <w:color w:val="231F20"/>
          <w:sz w:val="24"/>
          <w:szCs w:val="24"/>
        </w:rPr>
        <w:t>who underwent</w:t>
      </w:r>
      <w:r w:rsidR="00DE13BF" w:rsidRPr="00DE13BF">
        <w:rPr>
          <w:rFonts w:ascii="Times New Roman" w:eastAsia="Times New Roman" w:hAnsi="Times New Roman" w:cs="Times New Roman"/>
          <w:color w:val="231F20"/>
          <w:sz w:val="24"/>
          <w:szCs w:val="24"/>
        </w:rPr>
        <w:t xml:space="preserve"> one-level ACDF with </w:t>
      </w:r>
      <w:r w:rsidR="00196054" w:rsidRPr="00CB4BA6">
        <w:rPr>
          <w:rFonts w:ascii="Times New Roman" w:eastAsia="Times New Roman" w:hAnsi="Times New Roman" w:cs="Times New Roman"/>
          <w:color w:val="231F20"/>
          <w:sz w:val="24"/>
          <w:szCs w:val="24"/>
        </w:rPr>
        <w:t>autograft,</w:t>
      </w:r>
      <w:r w:rsidR="00DE13BF" w:rsidRPr="00DE13BF">
        <w:rPr>
          <w:rFonts w:ascii="Times New Roman" w:eastAsia="Times New Roman" w:hAnsi="Times New Roman" w:cs="Times New Roman"/>
          <w:color w:val="231F20"/>
          <w:sz w:val="24"/>
          <w:szCs w:val="24"/>
        </w:rPr>
        <w:t xml:space="preserve"> with and without anterior cervical plate fixation and they reported 100% and 90.3% fusion rates for non-plated and plated ACDF procedures respectively. Excellent and good clinical outcome results were obtained for 91.3% of all included patients in their study. Both non plating and plate fixation for ACDF has a high fusion rate and yields a satisfactory clinical outcome. They concluded that solid bone fusion can be adequately obtained without plate fixation and so instrumentation-related complications can be avoided.[35]</w:t>
      </w:r>
    </w:p>
    <w:p w14:paraId="1F86DAC3" w14:textId="77777777" w:rsidR="00DE13BF" w:rsidRPr="00DE13BF" w:rsidRDefault="00DE13BF" w:rsidP="00CB4BA6">
      <w:pPr>
        <w:shd w:val="clear" w:color="auto" w:fill="FFFFFF"/>
        <w:spacing w:after="0" w:line="240" w:lineRule="auto"/>
        <w:jc w:val="both"/>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lastRenderedPageBreak/>
        <w:t>The main limitations of this study were the small number of patients included and short term follow up and these to be considered in future studies.</w:t>
      </w:r>
    </w:p>
    <w:p w14:paraId="1383200B" w14:textId="77777777" w:rsidR="00DE13BF" w:rsidRPr="00DE13BF" w:rsidRDefault="00DE13BF" w:rsidP="00CB4BA6">
      <w:pPr>
        <w:spacing w:after="0" w:line="240" w:lineRule="auto"/>
        <w:jc w:val="both"/>
        <w:rPr>
          <w:rFonts w:ascii="Times New Roman" w:eastAsia="Times New Roman" w:hAnsi="Times New Roman" w:cs="Times New Roman"/>
          <w:sz w:val="24"/>
          <w:szCs w:val="24"/>
        </w:rPr>
      </w:pPr>
      <w:r w:rsidRPr="00DE13BF">
        <w:rPr>
          <w:rFonts w:ascii="Times New Roman" w:eastAsia="Times New Roman" w:hAnsi="Times New Roman" w:cs="Times New Roman"/>
          <w:color w:val="231F20"/>
          <w:sz w:val="24"/>
          <w:szCs w:val="24"/>
        </w:rPr>
        <w:t>Conclusion: We hereby recommend using stand-alone PEEK cage filled with BCP in one level ACDF as a safe and effective alternative with bone fusion rate and clinical outcome comparable to those of other options currently in use for one level ACDF, meanwhile avoiding donor site complications as well as additional cost and possible risks of hardware failure of anterior plate.</w:t>
      </w:r>
      <w:r w:rsidRPr="00DE13BF">
        <w:rPr>
          <w:rFonts w:ascii="Times New Roman" w:eastAsia="Times New Roman" w:hAnsi="Times New Roman" w:cs="Times New Roman"/>
          <w:sz w:val="24"/>
          <w:szCs w:val="24"/>
        </w:rPr>
        <w:t xml:space="preserve">  </w:t>
      </w:r>
    </w:p>
    <w:p w14:paraId="2870F820" w14:textId="77777777" w:rsidR="00DE13BF" w:rsidRPr="00DE13BF" w:rsidRDefault="00DE13BF" w:rsidP="00CB4BA6">
      <w:pPr>
        <w:autoSpaceDE w:val="0"/>
        <w:autoSpaceDN w:val="0"/>
        <w:bidi/>
        <w:adjustRightInd w:val="0"/>
        <w:spacing w:after="0" w:line="240" w:lineRule="auto"/>
        <w:jc w:val="right"/>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List of Abbreviations:</w:t>
      </w:r>
    </w:p>
    <w:p w14:paraId="10EBAAF6" w14:textId="77777777" w:rsidR="00DE13BF" w:rsidRPr="00DE13BF" w:rsidRDefault="00DE13BF" w:rsidP="00CB4BA6">
      <w:pPr>
        <w:autoSpaceDE w:val="0"/>
        <w:autoSpaceDN w:val="0"/>
        <w:bidi/>
        <w:adjustRightInd w:val="0"/>
        <w:spacing w:after="0" w:line="240" w:lineRule="auto"/>
        <w:jc w:val="right"/>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 xml:space="preserve">BCP: Biphasic calcium phosphate </w:t>
      </w:r>
    </w:p>
    <w:p w14:paraId="3C0A4FD9" w14:textId="77777777" w:rsidR="00DE13BF" w:rsidRPr="00DE13BF" w:rsidRDefault="00DE13BF" w:rsidP="00CB4BA6">
      <w:pPr>
        <w:autoSpaceDE w:val="0"/>
        <w:autoSpaceDN w:val="0"/>
        <w:bidi/>
        <w:adjustRightInd w:val="0"/>
        <w:spacing w:after="0" w:line="240" w:lineRule="auto"/>
        <w:jc w:val="right"/>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 xml:space="preserve">DM: Diabetes Mellitus                                                                   </w:t>
      </w:r>
    </w:p>
    <w:p w14:paraId="72A5FF50" w14:textId="77777777" w:rsidR="00DE13BF" w:rsidRPr="00DE13BF" w:rsidRDefault="00DE13BF" w:rsidP="00CB4BA6">
      <w:pPr>
        <w:autoSpaceDE w:val="0"/>
        <w:autoSpaceDN w:val="0"/>
        <w:bidi/>
        <w:adjustRightInd w:val="0"/>
        <w:spacing w:after="0" w:line="240" w:lineRule="auto"/>
        <w:jc w:val="right"/>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VAS: visual analogue score</w:t>
      </w:r>
    </w:p>
    <w:p w14:paraId="654084D7" w14:textId="77777777" w:rsidR="00DE13BF" w:rsidRPr="00DE13BF" w:rsidRDefault="00DE13BF" w:rsidP="00CB4BA6">
      <w:pPr>
        <w:autoSpaceDE w:val="0"/>
        <w:autoSpaceDN w:val="0"/>
        <w:bidi/>
        <w:adjustRightInd w:val="0"/>
        <w:spacing w:after="0" w:line="240" w:lineRule="auto"/>
        <w:jc w:val="right"/>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 xml:space="preserve">MRI  : magnetic resonant image                                                    </w:t>
      </w:r>
    </w:p>
    <w:p w14:paraId="773511C8" w14:textId="77777777" w:rsidR="00DE13BF" w:rsidRPr="00DE13BF" w:rsidRDefault="00DE13BF" w:rsidP="00CB4BA6">
      <w:pPr>
        <w:autoSpaceDE w:val="0"/>
        <w:autoSpaceDN w:val="0"/>
        <w:bidi/>
        <w:adjustRightInd w:val="0"/>
        <w:spacing w:after="0" w:line="240" w:lineRule="auto"/>
        <w:jc w:val="right"/>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 xml:space="preserve">HTN  : hypertension                                           </w:t>
      </w:r>
    </w:p>
    <w:p w14:paraId="49F81227" w14:textId="77777777" w:rsidR="00DE13BF" w:rsidRPr="00DE13BF" w:rsidRDefault="00DE13BF" w:rsidP="00CB4BA6">
      <w:pPr>
        <w:autoSpaceDE w:val="0"/>
        <w:autoSpaceDN w:val="0"/>
        <w:bidi/>
        <w:adjustRightInd w:val="0"/>
        <w:spacing w:after="0" w:line="240" w:lineRule="auto"/>
        <w:jc w:val="right"/>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 xml:space="preserve">ACDF: anterior cervical discectomy and fusion                         </w:t>
      </w:r>
    </w:p>
    <w:p w14:paraId="4CDD3C9B" w14:textId="77777777" w:rsidR="00DE13BF" w:rsidRPr="00DE13BF" w:rsidRDefault="00DE13BF" w:rsidP="00CB4BA6">
      <w:pPr>
        <w:autoSpaceDE w:val="0"/>
        <w:autoSpaceDN w:val="0"/>
        <w:bidi/>
        <w:adjustRightInd w:val="0"/>
        <w:spacing w:after="0" w:line="240" w:lineRule="auto"/>
        <w:jc w:val="right"/>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 xml:space="preserve">PSI    : patient satisfaction index                          </w:t>
      </w:r>
    </w:p>
    <w:p w14:paraId="5E6AE95D" w14:textId="77777777" w:rsidR="00DE13BF" w:rsidRPr="00DE13BF" w:rsidRDefault="00DE13BF" w:rsidP="00CB4BA6">
      <w:pPr>
        <w:autoSpaceDE w:val="0"/>
        <w:autoSpaceDN w:val="0"/>
        <w:bidi/>
        <w:adjustRightInd w:val="0"/>
        <w:spacing w:after="0" w:line="240" w:lineRule="auto"/>
        <w:jc w:val="right"/>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 xml:space="preserve">PEEK: Polyether Ether Ketone                                                      </w:t>
      </w:r>
    </w:p>
    <w:p w14:paraId="46877392" w14:textId="77777777" w:rsidR="00DE13BF" w:rsidRPr="00DE13BF" w:rsidRDefault="00DE13BF" w:rsidP="00CB4BA6">
      <w:pPr>
        <w:autoSpaceDE w:val="0"/>
        <w:autoSpaceDN w:val="0"/>
        <w:bidi/>
        <w:adjustRightInd w:val="0"/>
        <w:spacing w:after="0" w:line="240" w:lineRule="auto"/>
        <w:jc w:val="right"/>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 xml:space="preserve">CT    : computerized tomography </w:t>
      </w:r>
    </w:p>
    <w:p w14:paraId="4A5DD548" w14:textId="1CF323A7" w:rsidR="00DE13BF" w:rsidRPr="00DE13BF" w:rsidRDefault="00DE13BF" w:rsidP="00C30649">
      <w:pPr>
        <w:autoSpaceDE w:val="0"/>
        <w:autoSpaceDN w:val="0"/>
        <w:bidi/>
        <w:adjustRightInd w:val="0"/>
        <w:spacing w:after="0" w:line="240" w:lineRule="auto"/>
        <w:jc w:val="right"/>
        <w:rPr>
          <w:rFonts w:ascii="Times New Roman" w:eastAsia="Times New Roman" w:hAnsi="Times New Roman" w:cs="Times New Roman"/>
          <w:sz w:val="24"/>
          <w:szCs w:val="24"/>
          <w:highlight w:val="yellow"/>
        </w:rPr>
      </w:pPr>
      <w:r w:rsidRPr="00DE13BF">
        <w:rPr>
          <w:rFonts w:ascii="Times New Roman" w:eastAsia="Times New Roman" w:hAnsi="Times New Roman" w:cs="Times New Roman"/>
          <w:color w:val="231F20"/>
          <w:sz w:val="24"/>
          <w:szCs w:val="24"/>
        </w:rPr>
        <w:t xml:space="preserve">HA   : Hydroxyapatite                                                                   </w:t>
      </w:r>
      <w:bookmarkStart w:id="13" w:name="_Hlk53835021"/>
    </w:p>
    <w:p w14:paraId="0CCC121C" w14:textId="77777777" w:rsidR="00DE13BF" w:rsidRPr="00DE13BF" w:rsidRDefault="00DE13BF" w:rsidP="00CB4BA6">
      <w:pPr>
        <w:spacing w:before="75" w:after="75" w:line="240" w:lineRule="auto"/>
        <w:jc w:val="both"/>
        <w:outlineLvl w:val="0"/>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Disclosure of potential conflicts of interest </w:t>
      </w:r>
    </w:p>
    <w:p w14:paraId="0BDF85AE" w14:textId="77777777" w:rsidR="00DE13BF" w:rsidRPr="00DE13BF" w:rsidRDefault="00DE13BF" w:rsidP="00CB4BA6">
      <w:pPr>
        <w:spacing w:after="0" w:line="240" w:lineRule="auto"/>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Declaration of interest and Funding information.: The authors report no conflicts of interest.</w:t>
      </w:r>
    </w:p>
    <w:p w14:paraId="19181EF5" w14:textId="77777777" w:rsidR="00DE13BF" w:rsidRPr="00DE13BF" w:rsidRDefault="00DE13BF" w:rsidP="00CB4BA6">
      <w:pPr>
        <w:spacing w:after="0" w:line="240" w:lineRule="auto"/>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 xml:space="preserve">Authors’ contributions:  All authors have participated in the research and article preparation. All authors have read and approved the final article. </w:t>
      </w:r>
    </w:p>
    <w:p w14:paraId="4D686010" w14:textId="77777777" w:rsidR="00DE13BF" w:rsidRPr="00DE13BF" w:rsidRDefault="00DE13BF" w:rsidP="00CB4BA6">
      <w:pPr>
        <w:spacing w:before="15" w:after="15" w:line="240" w:lineRule="auto"/>
        <w:ind w:left="15" w:right="15"/>
        <w:jc w:val="both"/>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Authorship </w:t>
      </w:r>
    </w:p>
    <w:p w14:paraId="383A3575" w14:textId="77777777" w:rsidR="00DE13BF" w:rsidRPr="00DE13BF" w:rsidRDefault="00DE13BF" w:rsidP="00CB4BA6">
      <w:pPr>
        <w:spacing w:before="15" w:after="15" w:line="240" w:lineRule="auto"/>
        <w:ind w:left="15" w:right="15"/>
        <w:jc w:val="both"/>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 xml:space="preserve">All authors have made contributions to the following: (1) the conception and design of the study, acquisition of data, analysis and interpretation of data, (2) drafting the article and revising it critically for important intellectual content, (3) final approval of the version to be submitted. </w:t>
      </w:r>
      <w:bookmarkEnd w:id="13"/>
    </w:p>
    <w:p w14:paraId="2C2195B5" w14:textId="77777777" w:rsidR="00DE13BF" w:rsidRPr="00DE13BF" w:rsidRDefault="00DE13BF" w:rsidP="00CB4BA6">
      <w:pPr>
        <w:spacing w:after="0" w:line="240" w:lineRule="auto"/>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Acknowledgment:</w:t>
      </w:r>
    </w:p>
    <w:p w14:paraId="1F79102E" w14:textId="77777777" w:rsidR="00DE13BF" w:rsidRPr="00DE13BF" w:rsidRDefault="00DE13BF" w:rsidP="00C30649">
      <w:pPr>
        <w:spacing w:line="240" w:lineRule="auto"/>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 xml:space="preserve">We would like to thank Dr. Hanaa El-Sayed Bayomy, Associate Professor of Public Health and Community Medicine, Benha Faculty of Medicine, Benha University for great effort in accomplishing the statistical analysis of this study                     </w:t>
      </w:r>
    </w:p>
    <w:p w14:paraId="78430D3C" w14:textId="17E40E55" w:rsidR="00DE13BF" w:rsidRPr="00DE13BF" w:rsidRDefault="00DE13BF" w:rsidP="00C30649">
      <w:pPr>
        <w:spacing w:line="240" w:lineRule="auto"/>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www.bu.edu.eg    &amp;   www.fac.bu.edu.eg</w:t>
      </w:r>
    </w:p>
    <w:p w14:paraId="3F5FAE4F" w14:textId="77777777" w:rsidR="00DE13BF" w:rsidRPr="00DE13BF" w:rsidRDefault="00DE13BF" w:rsidP="00DE13BF">
      <w:pPr>
        <w:spacing w:after="0"/>
        <w:rPr>
          <w:rFonts w:ascii="Times New Roman" w:eastAsia="Times New Roman" w:hAnsi="Times New Roman" w:cs="Times New Roman"/>
          <w:b/>
          <w:bCs/>
          <w:color w:val="231F20"/>
          <w:sz w:val="24"/>
          <w:szCs w:val="24"/>
        </w:rPr>
      </w:pPr>
      <w:r w:rsidRPr="00DE13BF">
        <w:rPr>
          <w:rFonts w:ascii="Times New Roman" w:eastAsia="Times New Roman" w:hAnsi="Times New Roman" w:cs="Times New Roman"/>
          <w:b/>
          <w:bCs/>
          <w:color w:val="231F20"/>
          <w:sz w:val="24"/>
          <w:szCs w:val="24"/>
        </w:rPr>
        <w:t>References</w:t>
      </w:r>
    </w:p>
    <w:p w14:paraId="54AEDBBF" w14:textId="77777777" w:rsidR="00DE13BF" w:rsidRPr="00DE13BF" w:rsidRDefault="00DE13BF" w:rsidP="00DE13BF">
      <w:pPr>
        <w:numPr>
          <w:ilvl w:val="0"/>
          <w:numId w:val="6"/>
        </w:numPr>
        <w:contextualSpacing/>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 xml:space="preserve">Whitecloud TS: Modern alternatives and techniques for one-level discectomy and fusion. Clin Orthop Relat Res. 1999 Feb;(359):67-76. </w:t>
      </w:r>
    </w:p>
    <w:p w14:paraId="5331206D" w14:textId="77777777" w:rsidR="00DE13BF" w:rsidRPr="00DE13BF" w:rsidRDefault="00DE13BF" w:rsidP="00DE13BF">
      <w:pPr>
        <w:numPr>
          <w:ilvl w:val="0"/>
          <w:numId w:val="6"/>
        </w:numPr>
        <w:contextualSpacing/>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Ba Z, Zhao W, Wu D, Shen B, Yu B, Wang Z: Box cages packed with local decompression bone were efficient in anterior cervical discectomy and fusion: five- to 10-year follow-up. Spine (Phila Pa 1976) 37: E1260-E1263, 2012</w:t>
      </w:r>
    </w:p>
    <w:p w14:paraId="1EB5E0F9" w14:textId="77777777" w:rsidR="00DE13BF" w:rsidRPr="00DE13BF" w:rsidRDefault="00DE13BF" w:rsidP="00DE13BF">
      <w:pPr>
        <w:numPr>
          <w:ilvl w:val="0"/>
          <w:numId w:val="6"/>
        </w:numPr>
        <w:contextualSpacing/>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 xml:space="preserve">Thomas KA, Toth JM, Crawford NR, et al: Bioresorbable polylactide interbody implants in an ovine anterior cervical discectomy and fusion model: three‐year results. Spine, 2008, 33: 734–742. </w:t>
      </w:r>
    </w:p>
    <w:p w14:paraId="42846F19" w14:textId="77777777" w:rsidR="00DE13BF" w:rsidRPr="00DE13BF" w:rsidRDefault="00DE13BF" w:rsidP="00DE13BF">
      <w:pPr>
        <w:numPr>
          <w:ilvl w:val="0"/>
          <w:numId w:val="6"/>
        </w:numPr>
        <w:contextualSpacing/>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Elmeshtawy M, Elnady B, Hassan K, Ahmad H, Hassan M, Fouad M, Abo El-fadl A: Two or more levels anterior cervical discectomy and fusion (ACDF) using stand-alone PEEK cages filled with bone graft substitute. Egy Spine J, 2013 6:30-37.</w:t>
      </w:r>
    </w:p>
    <w:p w14:paraId="6DA6E639" w14:textId="77777777" w:rsidR="00DE13BF" w:rsidRPr="00DE13BF" w:rsidRDefault="00DE13BF" w:rsidP="00DE13BF">
      <w:pPr>
        <w:numPr>
          <w:ilvl w:val="0"/>
          <w:numId w:val="6"/>
        </w:numPr>
        <w:contextualSpacing/>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 xml:space="preserve">Fountas KN, Kapsalaki EZ, Nikolakakos LG, et al: Anterior cervical discectomy and fusion associated complications. Spine, 2007, 32: 2310–2317. </w:t>
      </w:r>
    </w:p>
    <w:p w14:paraId="36DB183C" w14:textId="77777777" w:rsidR="00DE13BF" w:rsidRPr="00DE13BF" w:rsidRDefault="00DE13BF" w:rsidP="00DE13BF">
      <w:pPr>
        <w:numPr>
          <w:ilvl w:val="0"/>
          <w:numId w:val="6"/>
        </w:numPr>
        <w:contextualSpacing/>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lastRenderedPageBreak/>
        <w:t>Aghdasi B, Montgomery SR, Daubs MD, Wang JC: A Review of Demineralized Bone Matrices for Spinal Fusion: The Evidence for Efficacy. The Surgeon 2013 ,11:39-48.</w:t>
      </w:r>
    </w:p>
    <w:p w14:paraId="0E3D95A2" w14:textId="77777777" w:rsidR="00DE13BF" w:rsidRPr="00DE13BF" w:rsidRDefault="00DE13BF" w:rsidP="00DE13BF">
      <w:pPr>
        <w:numPr>
          <w:ilvl w:val="0"/>
          <w:numId w:val="6"/>
        </w:numPr>
        <w:contextualSpacing/>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Lee CH, Hyun SJ, Kim MJ, Yeom JS, Kim WH, Kim KJ, et al.: Comparative analysis of 3 different construct systems for single-level anterior cervical discectomy and fusion: stand-alone cage, iliac graft plus plate augmentation, and cage plus plating. J Spinal Disord Tech 2013 ,26: 112-118.</w:t>
      </w:r>
    </w:p>
    <w:p w14:paraId="6BA2278A" w14:textId="77777777" w:rsidR="00DE13BF" w:rsidRPr="00DE13BF" w:rsidRDefault="00DE13BF" w:rsidP="00DE13BF">
      <w:pPr>
        <w:numPr>
          <w:ilvl w:val="0"/>
          <w:numId w:val="6"/>
        </w:numPr>
        <w:contextualSpacing/>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 xml:space="preserve">Chau AM, Mobbs RJ.: Bone graft substitutes in anterior cervical discectomy and fusion. Eur Spine J, 2009, 18: 449–464. </w:t>
      </w:r>
    </w:p>
    <w:p w14:paraId="46D3C21B" w14:textId="77777777" w:rsidR="00DE13BF" w:rsidRPr="00DE13BF" w:rsidRDefault="00DE13BF" w:rsidP="00DE13BF">
      <w:pPr>
        <w:numPr>
          <w:ilvl w:val="0"/>
          <w:numId w:val="6"/>
        </w:numPr>
        <w:contextualSpacing/>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Silber JS, Anderson DG, Daffner SD, et al.: Donor site morbidity after anterior iliac crest bone harvest for single-level anterior cervical discectomy and fusion. Spine (Phila Pa 1976). 2003;28(2):134-139.</w:t>
      </w:r>
    </w:p>
    <w:p w14:paraId="44CA7214" w14:textId="77777777" w:rsidR="00DE13BF" w:rsidRPr="00DE13BF" w:rsidRDefault="00DE13BF" w:rsidP="00DE13BF">
      <w:pPr>
        <w:numPr>
          <w:ilvl w:val="0"/>
          <w:numId w:val="6"/>
        </w:numPr>
        <w:contextualSpacing/>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 xml:space="preserve">Samartzis D, Shen FH, Goldberg EJ and Howard S: Is autograft the gold standard in achieving radiographic fusion in one‐level anterior cervical discectomy and fusion with rigid anterior plate fixation? Spine (Phila Pa 1976), 2005 Aug 1; 30 (15): 1756–1761. </w:t>
      </w:r>
    </w:p>
    <w:p w14:paraId="2587552A" w14:textId="77777777" w:rsidR="00DE13BF" w:rsidRPr="00DE13BF" w:rsidRDefault="00DE13BF" w:rsidP="00DE13BF">
      <w:pPr>
        <w:numPr>
          <w:ilvl w:val="0"/>
          <w:numId w:val="6"/>
        </w:numPr>
        <w:contextualSpacing/>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 xml:space="preserve">Moreland DB, Asch HL, Clabeaux DE, et al: Anterior cervical discectomy and fusion with implantable titanium cage: initial impressions, patient outcomes and comparison to fusion with allograft. Spine J, 2004, 4: 184–191. </w:t>
      </w:r>
    </w:p>
    <w:p w14:paraId="53DAF550" w14:textId="77777777" w:rsidR="00DE13BF" w:rsidRPr="00DE13BF" w:rsidRDefault="00DE13BF" w:rsidP="00DE13BF">
      <w:pPr>
        <w:numPr>
          <w:ilvl w:val="0"/>
          <w:numId w:val="6"/>
        </w:numPr>
        <w:contextualSpacing/>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Thome C, Krauss JK, Zevgaridis D: A prospective clinical comparison of rectangular titanium cages and iliac crest autografts in anterior cervical discectomy and fusion. Neurosurg Rev 2004 ,27:34-41.</w:t>
      </w:r>
    </w:p>
    <w:p w14:paraId="1201DBBA" w14:textId="77777777" w:rsidR="00DE13BF" w:rsidRPr="00DE13BF" w:rsidRDefault="00DE13BF" w:rsidP="00DE13BF">
      <w:pPr>
        <w:numPr>
          <w:ilvl w:val="0"/>
          <w:numId w:val="6"/>
        </w:numPr>
        <w:contextualSpacing/>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Kulkarni AG, Hee HT, Wong HK: Solis cage (PEEK) for anterior cervical fusion: preliminary radiological results with emphasis on fusion and subsidence. Spine J2007, 7: 205-209.</w:t>
      </w:r>
    </w:p>
    <w:p w14:paraId="6C5723FE" w14:textId="77777777" w:rsidR="00DE13BF" w:rsidRPr="00DE13BF" w:rsidRDefault="00DE13BF" w:rsidP="00DE13BF">
      <w:pPr>
        <w:numPr>
          <w:ilvl w:val="0"/>
          <w:numId w:val="6"/>
        </w:numPr>
        <w:contextualSpacing/>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Torstrick FB, SafranskI DL, Burkus JK: Getting PEEK to Stick to Bone: The Development of Porous PEEK for Interbody Fusion Devices. Tech Orthop 2017, 32:158-166.</w:t>
      </w:r>
    </w:p>
    <w:p w14:paraId="660CB4AB" w14:textId="77777777" w:rsidR="00DE13BF" w:rsidRPr="00DE13BF" w:rsidRDefault="00DE13BF" w:rsidP="00DE13BF">
      <w:pPr>
        <w:numPr>
          <w:ilvl w:val="0"/>
          <w:numId w:val="6"/>
        </w:numPr>
        <w:contextualSpacing/>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 xml:space="preserve">Pan U, Chen Y, Shen Q: Flexural Mechanical Properties of Functional Gradient Hydroxyapatite Reinforced Polyetheretherketone Biocomposites. Journal of Materials Science &amp;Technology 2016 ,32:4-40, </w:t>
      </w:r>
    </w:p>
    <w:p w14:paraId="107BE575" w14:textId="77777777" w:rsidR="00DE13BF" w:rsidRPr="00DE13BF" w:rsidRDefault="00DE13BF" w:rsidP="00DE13BF">
      <w:pPr>
        <w:numPr>
          <w:ilvl w:val="0"/>
          <w:numId w:val="6"/>
        </w:numPr>
        <w:contextualSpacing/>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Pechlivanis I, Thuring T, Brenke C, Seiz M, Thome C, Barth M, et al.: Non-fusion rates in anterior cervical discectomy and implantation of empty polyetheretherketone cages. Spine (Phila Pa 1976) 2011 ,36: 15-20.</w:t>
      </w:r>
    </w:p>
    <w:p w14:paraId="7C1E6B1A" w14:textId="77777777" w:rsidR="00DE13BF" w:rsidRPr="00DE13BF" w:rsidRDefault="00DE13BF" w:rsidP="00DE13BF">
      <w:pPr>
        <w:numPr>
          <w:ilvl w:val="0"/>
          <w:numId w:val="6"/>
        </w:numPr>
        <w:contextualSpacing/>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27.</w:t>
      </w:r>
      <w:r w:rsidRPr="00DE13BF">
        <w:rPr>
          <w:rFonts w:ascii="Times New Roman" w:eastAsia="Times New Roman" w:hAnsi="Times New Roman" w:cs="Times New Roman"/>
          <w:color w:val="231F20"/>
          <w:sz w:val="24"/>
          <w:szCs w:val="24"/>
        </w:rPr>
        <w:tab/>
        <w:t xml:space="preserve">Odom GL, Finney W, Woodhall B.: Cervical disk lesions. J Am Med Assoc, 1958, 6: 23–28. </w:t>
      </w:r>
    </w:p>
    <w:p w14:paraId="35FFCE17" w14:textId="77777777" w:rsidR="00DE13BF" w:rsidRPr="00DE13BF" w:rsidRDefault="00DE13BF" w:rsidP="00DE13BF">
      <w:pPr>
        <w:numPr>
          <w:ilvl w:val="0"/>
          <w:numId w:val="6"/>
        </w:numPr>
        <w:contextualSpacing/>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 xml:space="preserve">Palit M, Schofferman J, Goldthwaite N, et al: Anterior discectomy and fusion for the management of neck pain. Spine, 1999, 24: 2224–2228. </w:t>
      </w:r>
    </w:p>
    <w:p w14:paraId="319215C2" w14:textId="77777777" w:rsidR="00DE13BF" w:rsidRPr="00DE13BF" w:rsidRDefault="00DE13BF" w:rsidP="00DE13BF">
      <w:pPr>
        <w:numPr>
          <w:ilvl w:val="0"/>
          <w:numId w:val="6"/>
        </w:numPr>
        <w:contextualSpacing/>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 xml:space="preserve">Gercek E, Arlet V, Delisle J, et al: Subsidence of stand‐alone cervical cages in anterior interbody fusion: warning. Eur Spine J, 2003, 12: 513–516. </w:t>
      </w:r>
    </w:p>
    <w:p w14:paraId="4C597F4E" w14:textId="77777777" w:rsidR="00DE13BF" w:rsidRPr="00DE13BF" w:rsidRDefault="00DE13BF" w:rsidP="00DE13BF">
      <w:pPr>
        <w:numPr>
          <w:ilvl w:val="0"/>
          <w:numId w:val="6"/>
        </w:numPr>
        <w:contextualSpacing/>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Bartels RH, Beems T, Schutte PJ, Verbeek AL.: The rationale of postoperative radiographs after cervical anterior discectomy with stand-alone cage for radicular pain. J Neurosurg Spine. 2010;12(3):275-279.</w:t>
      </w:r>
    </w:p>
    <w:p w14:paraId="2075A649" w14:textId="77777777" w:rsidR="00DE13BF" w:rsidRPr="00DE13BF" w:rsidRDefault="00DE13BF" w:rsidP="00DE13BF">
      <w:pPr>
        <w:numPr>
          <w:ilvl w:val="0"/>
          <w:numId w:val="6"/>
        </w:numPr>
        <w:contextualSpacing/>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lastRenderedPageBreak/>
        <w:t>Silber JG 3rd, Johnson J.: Iliac crest autogenous bone grafting: donor site complications. J South Orthop Assoc. 2000;9(2):91-97.</w:t>
      </w:r>
    </w:p>
    <w:p w14:paraId="5C78F4EB" w14:textId="77777777" w:rsidR="00DE13BF" w:rsidRPr="00DE13BF" w:rsidRDefault="00DE13BF" w:rsidP="00DE13BF">
      <w:pPr>
        <w:numPr>
          <w:ilvl w:val="0"/>
          <w:numId w:val="6"/>
        </w:numPr>
        <w:contextualSpacing/>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Min WK, Bae JS, Park BC, Jeon IH, Jin HK, Son MJ, et al.: Proliferation and osteoblastic differentiation of bone marrow stem cells: comparison of vertebral body and iliac crest. Eur Spine J 2010, 19: 1753-1760.</w:t>
      </w:r>
    </w:p>
    <w:p w14:paraId="2758B044" w14:textId="77777777" w:rsidR="00DE13BF" w:rsidRPr="00DE13BF" w:rsidRDefault="00DE13BF" w:rsidP="00DE13BF">
      <w:pPr>
        <w:numPr>
          <w:ilvl w:val="0"/>
          <w:numId w:val="6"/>
        </w:numPr>
        <w:contextualSpacing/>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 xml:space="preserve">Fraser JF, Hartl R.: Anterior approaches to fusion of the cervical spine: a meta-analysis of fusion rates. J Neurosurg Spine. 2007; 6:298–303. </w:t>
      </w:r>
    </w:p>
    <w:p w14:paraId="106EF2D4" w14:textId="77777777" w:rsidR="00DE13BF" w:rsidRPr="00DE13BF" w:rsidRDefault="00DE13BF" w:rsidP="00DE13BF">
      <w:pPr>
        <w:numPr>
          <w:ilvl w:val="0"/>
          <w:numId w:val="6"/>
        </w:numPr>
        <w:contextualSpacing/>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Shad A, Leach JC, Teddy PJ, Cadoux-Hudson TA: Use of the Solis cage and local autologous bone graft for anterior cervical discectomy and fusion: early technical experience. J Neurosurg Spine 2005, 2: 116-122.</w:t>
      </w:r>
    </w:p>
    <w:p w14:paraId="0B66657E" w14:textId="77777777" w:rsidR="00DE13BF" w:rsidRPr="00DE13BF" w:rsidRDefault="00DE13BF" w:rsidP="00DE13BF">
      <w:pPr>
        <w:numPr>
          <w:ilvl w:val="0"/>
          <w:numId w:val="6"/>
        </w:numPr>
        <w:contextualSpacing/>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Pitzen T, Kiefer R, München D, Barbier D, Reith W, Steudel WI: Filling a cervical spine cage with local autograft: change of bone density and assessment of bony fusion. Zentralbl Neurochir 2006, 67: 8-13.</w:t>
      </w:r>
    </w:p>
    <w:p w14:paraId="72504845" w14:textId="77777777" w:rsidR="00DE13BF" w:rsidRPr="00DE13BF" w:rsidRDefault="00DE13BF" w:rsidP="00DE13BF">
      <w:pPr>
        <w:numPr>
          <w:ilvl w:val="0"/>
          <w:numId w:val="6"/>
        </w:numPr>
        <w:contextualSpacing/>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 xml:space="preserve">McConnell JR, Freeman BJC, Debnath UK, Grevitt MP, Prince HG, Webb JK.: A prospective randomized comparison of coralline hydroxyapatite with autograft in cervical interbody fusion. Spine. 2003; 28:317–323. </w:t>
      </w:r>
    </w:p>
    <w:p w14:paraId="0CF1736F" w14:textId="77777777" w:rsidR="00DE13BF" w:rsidRPr="00DE13BF" w:rsidRDefault="00DE13BF" w:rsidP="00DE13BF">
      <w:pPr>
        <w:numPr>
          <w:ilvl w:val="0"/>
          <w:numId w:val="6"/>
        </w:numPr>
        <w:contextualSpacing/>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Carreon LY, Glassman SD, Djurasovic M.: Reliability and agreement between fine‐cut CT scans and plain radiography in the evaluation of posterolateral fusions. Spine J, 2007, 7: 39–43.</w:t>
      </w:r>
    </w:p>
    <w:p w14:paraId="25E62040" w14:textId="77777777" w:rsidR="00DE13BF" w:rsidRPr="00DE13BF" w:rsidRDefault="00DE13BF" w:rsidP="00DE13BF">
      <w:pPr>
        <w:numPr>
          <w:ilvl w:val="0"/>
          <w:numId w:val="6"/>
        </w:numPr>
        <w:contextualSpacing/>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Bartels RH, Donk RD, Feuth T: Subsidence of stand-alone cervical carbon fiber cages. Neurosurgery 2006, 58: 502-508.</w:t>
      </w:r>
    </w:p>
    <w:p w14:paraId="086FF033" w14:textId="77777777" w:rsidR="00DE13BF" w:rsidRPr="00DE13BF" w:rsidRDefault="00DE13BF" w:rsidP="00DE13BF">
      <w:pPr>
        <w:numPr>
          <w:ilvl w:val="0"/>
          <w:numId w:val="6"/>
        </w:numPr>
        <w:contextualSpacing/>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Yang JJ, Yu CH, Chang BS, Yeom JS, Lee JH, Lee CK: Subsidence and nonunion after anterior cervical interbody fusion using a stand-alone polyetheretherketone (PEEK) cage. Clin Orthop Surg 2011, 3: 16-23.</w:t>
      </w:r>
    </w:p>
    <w:p w14:paraId="495E89CD" w14:textId="77777777" w:rsidR="00DE13BF" w:rsidRPr="00DE13BF" w:rsidRDefault="00DE13BF" w:rsidP="00DE13BF">
      <w:pPr>
        <w:numPr>
          <w:ilvl w:val="0"/>
          <w:numId w:val="6"/>
        </w:numPr>
        <w:contextualSpacing/>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Bartels RH, Donk R, van Azn RD: Height of cervical foramina after anterior discectomy and implantation of a carbon fiber cage. J Neurosurg 2001, 95: 40-42.</w:t>
      </w:r>
    </w:p>
    <w:p w14:paraId="4AD95CEE" w14:textId="77777777" w:rsidR="00DE13BF" w:rsidRPr="00DE13BF" w:rsidRDefault="00DE13BF" w:rsidP="00DE13BF">
      <w:pPr>
        <w:numPr>
          <w:ilvl w:val="0"/>
          <w:numId w:val="6"/>
        </w:numPr>
        <w:contextualSpacing/>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van Jonbergen HP, Spruit M, Anderson PG, Pavlov PW: Anterior cervical interbody fusion with a titanium box cage: early radiological assessment of fusion and subsidence. Spine J 2005 ,5: 645-649.</w:t>
      </w:r>
    </w:p>
    <w:p w14:paraId="0FCF000A" w14:textId="77777777" w:rsidR="00DE13BF" w:rsidRPr="00DE13BF" w:rsidRDefault="00DE13BF" w:rsidP="00DE13BF">
      <w:pPr>
        <w:numPr>
          <w:ilvl w:val="0"/>
          <w:numId w:val="6"/>
        </w:numPr>
        <w:contextualSpacing/>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Kast E, Derakhshani S, Bothmann M, Oberle J: Subsidence after anterior cervical inter-body fusion. A randomized prospective clinical trial. Neurosurg Rev 2009 ,32: 207-214.</w:t>
      </w:r>
    </w:p>
    <w:p w14:paraId="1341307D" w14:textId="77777777" w:rsidR="00DE13BF" w:rsidRPr="00DE13BF" w:rsidRDefault="00DE13BF" w:rsidP="00DE13BF">
      <w:pPr>
        <w:numPr>
          <w:ilvl w:val="0"/>
          <w:numId w:val="6"/>
        </w:numPr>
        <w:contextualSpacing/>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Park HW, Lee JK, Moon SJ, Seo SK, Lee JH, Kim SH: The efficacy of the synthetic interbody cage and grafton for anterior cervical fusion. Spine 2009, 34:591-595.</w:t>
      </w:r>
    </w:p>
    <w:p w14:paraId="46EDEF5F" w14:textId="77777777" w:rsidR="00DE13BF" w:rsidRPr="00DE13BF" w:rsidRDefault="00DE13BF" w:rsidP="00DE13BF">
      <w:pPr>
        <w:numPr>
          <w:ilvl w:val="0"/>
          <w:numId w:val="6"/>
        </w:numPr>
        <w:contextualSpacing/>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Wright IP, Eisenstein SM.: Anterior cervical discectomy and fusion without instrumentation. Spine (Phila Pa 1976). 2007 Apr 1;32(7):772-4.</w:t>
      </w:r>
    </w:p>
    <w:p w14:paraId="3104DFB0" w14:textId="77777777" w:rsidR="00DE13BF" w:rsidRPr="00DE13BF" w:rsidRDefault="00DE13BF" w:rsidP="00DE13BF">
      <w:pPr>
        <w:numPr>
          <w:ilvl w:val="0"/>
          <w:numId w:val="6"/>
        </w:numPr>
        <w:contextualSpacing/>
        <w:rPr>
          <w:rFonts w:ascii="Times New Roman" w:eastAsia="Times New Roman" w:hAnsi="Times New Roman" w:cs="Times New Roman"/>
          <w:color w:val="231F20"/>
          <w:sz w:val="24"/>
          <w:szCs w:val="24"/>
        </w:rPr>
      </w:pPr>
      <w:r w:rsidRPr="00DE13BF">
        <w:rPr>
          <w:rFonts w:ascii="Times New Roman" w:eastAsia="Times New Roman" w:hAnsi="Times New Roman" w:cs="Times New Roman"/>
          <w:color w:val="231F20"/>
          <w:sz w:val="24"/>
          <w:szCs w:val="24"/>
        </w:rPr>
        <w:t xml:space="preserve">Samartzis D, Shen F H, Lyon C, Phillips M, Goldberg E J, An H S.: Does Rigid Instrumentation Increase the Fusion Rate in One-Level Anterior Cervical Discectomy and Fusion? Spine j. Nov-Dec 2004;4(6):636-43. </w:t>
      </w:r>
    </w:p>
    <w:p w14:paraId="2306240D" w14:textId="77777777" w:rsidR="00DE13BF" w:rsidRPr="00DE13BF" w:rsidRDefault="00DE13BF" w:rsidP="00DE13BF">
      <w:pPr>
        <w:rPr>
          <w:rFonts w:ascii="Times New Roman" w:eastAsia="Times New Roman" w:hAnsi="Times New Roman" w:cs="Times New Roman"/>
          <w:color w:val="231F20"/>
          <w:sz w:val="24"/>
          <w:szCs w:val="24"/>
        </w:rPr>
      </w:pPr>
    </w:p>
    <w:p w14:paraId="5CF5D49E" w14:textId="77777777" w:rsidR="00DE13BF" w:rsidRPr="00CB4BA6" w:rsidRDefault="00DE13BF" w:rsidP="008A351B">
      <w:pPr>
        <w:spacing w:after="0"/>
        <w:jc w:val="both"/>
        <w:rPr>
          <w:rFonts w:ascii="Times New Roman" w:eastAsia="Times New Roman" w:hAnsi="Times New Roman" w:cs="Times New Roman"/>
          <w:color w:val="231F20"/>
          <w:sz w:val="24"/>
          <w:szCs w:val="24"/>
        </w:rPr>
      </w:pPr>
    </w:p>
    <w:p w14:paraId="313F5F40" w14:textId="77777777" w:rsidR="00DE13BF" w:rsidRPr="00CB4BA6" w:rsidRDefault="00DE13BF" w:rsidP="008A351B">
      <w:pPr>
        <w:spacing w:after="0"/>
        <w:jc w:val="both"/>
        <w:rPr>
          <w:rFonts w:ascii="Times New Roman" w:eastAsia="Times New Roman" w:hAnsi="Times New Roman" w:cs="Times New Roman"/>
          <w:color w:val="231F20"/>
          <w:sz w:val="24"/>
          <w:szCs w:val="24"/>
        </w:rPr>
      </w:pPr>
    </w:p>
    <w:p w14:paraId="195E0500" w14:textId="77777777" w:rsidR="00DE13BF" w:rsidRPr="00CB4BA6" w:rsidRDefault="00DE13BF" w:rsidP="008A351B">
      <w:pPr>
        <w:spacing w:after="0"/>
        <w:jc w:val="both"/>
        <w:rPr>
          <w:rFonts w:ascii="Times New Roman" w:eastAsia="Times New Roman" w:hAnsi="Times New Roman" w:cs="Times New Roman"/>
          <w:color w:val="231F20"/>
          <w:sz w:val="24"/>
          <w:szCs w:val="24"/>
        </w:rPr>
      </w:pPr>
    </w:p>
    <w:p w14:paraId="62E0DE2A" w14:textId="21498956" w:rsidR="00915B26" w:rsidRPr="00CB4BA6" w:rsidRDefault="00915B26" w:rsidP="00915B26">
      <w:pPr>
        <w:autoSpaceDE w:val="0"/>
        <w:autoSpaceDN w:val="0"/>
        <w:bidi/>
        <w:adjustRightInd w:val="0"/>
        <w:spacing w:after="0" w:line="240" w:lineRule="auto"/>
        <w:jc w:val="right"/>
        <w:rPr>
          <w:rFonts w:ascii="Times New Roman" w:eastAsia="Times New Roman" w:hAnsi="Times New Roman" w:cs="Times New Roman"/>
          <w:color w:val="231F20"/>
          <w:sz w:val="24"/>
          <w:szCs w:val="24"/>
        </w:rPr>
      </w:pPr>
      <w:bookmarkStart w:id="14" w:name="_Hlk44268679"/>
    </w:p>
    <w:p w14:paraId="1D2676B2" w14:textId="77777777" w:rsidR="00915B26" w:rsidRPr="00CB4BA6" w:rsidRDefault="00915B26" w:rsidP="00915B26">
      <w:pPr>
        <w:autoSpaceDE w:val="0"/>
        <w:autoSpaceDN w:val="0"/>
        <w:bidi/>
        <w:adjustRightInd w:val="0"/>
        <w:spacing w:after="0" w:line="240" w:lineRule="auto"/>
        <w:jc w:val="right"/>
        <w:rPr>
          <w:rFonts w:ascii="Times New Roman" w:eastAsia="Times New Roman" w:hAnsi="Times New Roman" w:cs="Times New Roman"/>
          <w:color w:val="231F20"/>
          <w:sz w:val="24"/>
          <w:szCs w:val="24"/>
        </w:rPr>
      </w:pPr>
    </w:p>
    <w:bookmarkEnd w:id="6"/>
    <w:bookmarkEnd w:id="14"/>
    <w:p w14:paraId="53565D68" w14:textId="1456B68B" w:rsidR="00FA1723" w:rsidRPr="00CB4BA6" w:rsidRDefault="00FA1723" w:rsidP="00DE13BF">
      <w:pPr>
        <w:shd w:val="clear" w:color="auto" w:fill="FFFFFF"/>
        <w:spacing w:before="166" w:after="166" w:line="240" w:lineRule="auto"/>
        <w:ind w:left="360"/>
        <w:rPr>
          <w:rFonts w:ascii="Times New Roman" w:eastAsia="Times New Roman" w:hAnsi="Times New Roman" w:cs="Times New Roman"/>
          <w:color w:val="231F20"/>
          <w:sz w:val="24"/>
          <w:szCs w:val="24"/>
        </w:rPr>
      </w:pPr>
    </w:p>
    <w:sectPr w:rsidR="00FA1723" w:rsidRPr="00CB4B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538C4" w14:textId="77777777" w:rsidR="00FE3ADF" w:rsidRDefault="00FE3ADF" w:rsidP="00697623">
      <w:pPr>
        <w:spacing w:after="0" w:line="240" w:lineRule="auto"/>
      </w:pPr>
      <w:r>
        <w:separator/>
      </w:r>
    </w:p>
  </w:endnote>
  <w:endnote w:type="continuationSeparator" w:id="0">
    <w:p w14:paraId="7DBF3A73" w14:textId="77777777" w:rsidR="00FE3ADF" w:rsidRDefault="00FE3ADF" w:rsidP="00697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6C33C" w14:textId="77777777" w:rsidR="00FE3ADF" w:rsidRDefault="00FE3ADF" w:rsidP="00697623">
      <w:pPr>
        <w:spacing w:after="0" w:line="240" w:lineRule="auto"/>
      </w:pPr>
      <w:r>
        <w:separator/>
      </w:r>
    </w:p>
  </w:footnote>
  <w:footnote w:type="continuationSeparator" w:id="0">
    <w:p w14:paraId="6C04CBE8" w14:textId="77777777" w:rsidR="00FE3ADF" w:rsidRDefault="00FE3ADF" w:rsidP="006976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ACA"/>
    <w:multiLevelType w:val="hybridMultilevel"/>
    <w:tmpl w:val="04C8C996"/>
    <w:lvl w:ilvl="0" w:tplc="B5EC9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00F39"/>
    <w:multiLevelType w:val="hybridMultilevel"/>
    <w:tmpl w:val="80721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B46C9"/>
    <w:multiLevelType w:val="hybridMultilevel"/>
    <w:tmpl w:val="F70AEC5E"/>
    <w:lvl w:ilvl="0" w:tplc="D9CE63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A7704"/>
    <w:multiLevelType w:val="hybridMultilevel"/>
    <w:tmpl w:val="485EC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96E83"/>
    <w:multiLevelType w:val="hybridMultilevel"/>
    <w:tmpl w:val="485EC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255487"/>
    <w:multiLevelType w:val="hybridMultilevel"/>
    <w:tmpl w:val="485EC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53B"/>
    <w:rsid w:val="000028B0"/>
    <w:rsid w:val="00002FBE"/>
    <w:rsid w:val="00003C3B"/>
    <w:rsid w:val="000060CF"/>
    <w:rsid w:val="00014613"/>
    <w:rsid w:val="0002214B"/>
    <w:rsid w:val="0002296C"/>
    <w:rsid w:val="00026BC9"/>
    <w:rsid w:val="00032CFC"/>
    <w:rsid w:val="00034376"/>
    <w:rsid w:val="00035C71"/>
    <w:rsid w:val="00037AEB"/>
    <w:rsid w:val="000400A5"/>
    <w:rsid w:val="000444EE"/>
    <w:rsid w:val="00046FB1"/>
    <w:rsid w:val="0004781A"/>
    <w:rsid w:val="00050A11"/>
    <w:rsid w:val="00052F2B"/>
    <w:rsid w:val="00061125"/>
    <w:rsid w:val="00061872"/>
    <w:rsid w:val="000636BE"/>
    <w:rsid w:val="00064968"/>
    <w:rsid w:val="00076ABE"/>
    <w:rsid w:val="00085678"/>
    <w:rsid w:val="00086A2E"/>
    <w:rsid w:val="00091030"/>
    <w:rsid w:val="00094443"/>
    <w:rsid w:val="000A1C58"/>
    <w:rsid w:val="000A6AAB"/>
    <w:rsid w:val="000A73D0"/>
    <w:rsid w:val="000B0BCF"/>
    <w:rsid w:val="000B44F2"/>
    <w:rsid w:val="000C5B38"/>
    <w:rsid w:val="000C5D58"/>
    <w:rsid w:val="000D11AE"/>
    <w:rsid w:val="000D34EC"/>
    <w:rsid w:val="000E0618"/>
    <w:rsid w:val="000E48EC"/>
    <w:rsid w:val="000E53E2"/>
    <w:rsid w:val="000E7D62"/>
    <w:rsid w:val="00104D7B"/>
    <w:rsid w:val="001061EB"/>
    <w:rsid w:val="00110B2A"/>
    <w:rsid w:val="00112228"/>
    <w:rsid w:val="00120C1A"/>
    <w:rsid w:val="001221EF"/>
    <w:rsid w:val="00125A26"/>
    <w:rsid w:val="0013509D"/>
    <w:rsid w:val="0013545C"/>
    <w:rsid w:val="00135A0B"/>
    <w:rsid w:val="0014039E"/>
    <w:rsid w:val="0014079F"/>
    <w:rsid w:val="00142782"/>
    <w:rsid w:val="0014537D"/>
    <w:rsid w:val="001507E0"/>
    <w:rsid w:val="00153730"/>
    <w:rsid w:val="00153974"/>
    <w:rsid w:val="00155A44"/>
    <w:rsid w:val="00160D6C"/>
    <w:rsid w:val="0016450B"/>
    <w:rsid w:val="001659E2"/>
    <w:rsid w:val="0017103D"/>
    <w:rsid w:val="00171469"/>
    <w:rsid w:val="00182C2F"/>
    <w:rsid w:val="001856C1"/>
    <w:rsid w:val="00187EEC"/>
    <w:rsid w:val="00192C02"/>
    <w:rsid w:val="00196054"/>
    <w:rsid w:val="001A608D"/>
    <w:rsid w:val="001A6D91"/>
    <w:rsid w:val="001B64EA"/>
    <w:rsid w:val="001B6FA6"/>
    <w:rsid w:val="001D0A06"/>
    <w:rsid w:val="001D116A"/>
    <w:rsid w:val="001D3C7B"/>
    <w:rsid w:val="001E0B81"/>
    <w:rsid w:val="001E4233"/>
    <w:rsid w:val="001F05C2"/>
    <w:rsid w:val="001F1800"/>
    <w:rsid w:val="001F3147"/>
    <w:rsid w:val="001F41DE"/>
    <w:rsid w:val="001F5BA8"/>
    <w:rsid w:val="00200D81"/>
    <w:rsid w:val="0020128A"/>
    <w:rsid w:val="00202018"/>
    <w:rsid w:val="0020245D"/>
    <w:rsid w:val="002079C0"/>
    <w:rsid w:val="00213090"/>
    <w:rsid w:val="00213FA2"/>
    <w:rsid w:val="00216AB9"/>
    <w:rsid w:val="00217D23"/>
    <w:rsid w:val="00220C1B"/>
    <w:rsid w:val="00224D6C"/>
    <w:rsid w:val="00230AAE"/>
    <w:rsid w:val="00231077"/>
    <w:rsid w:val="00232661"/>
    <w:rsid w:val="002328D0"/>
    <w:rsid w:val="00237857"/>
    <w:rsid w:val="002379DD"/>
    <w:rsid w:val="00241A87"/>
    <w:rsid w:val="00250BA6"/>
    <w:rsid w:val="00252DF9"/>
    <w:rsid w:val="002565DD"/>
    <w:rsid w:val="00263C3E"/>
    <w:rsid w:val="00266E47"/>
    <w:rsid w:val="00270244"/>
    <w:rsid w:val="00272BFB"/>
    <w:rsid w:val="002822D7"/>
    <w:rsid w:val="00283F4C"/>
    <w:rsid w:val="00284685"/>
    <w:rsid w:val="002868DD"/>
    <w:rsid w:val="00292DE9"/>
    <w:rsid w:val="00293854"/>
    <w:rsid w:val="00294C71"/>
    <w:rsid w:val="002962AC"/>
    <w:rsid w:val="002A60F4"/>
    <w:rsid w:val="002A7C5F"/>
    <w:rsid w:val="002B2BBB"/>
    <w:rsid w:val="002B2C8E"/>
    <w:rsid w:val="002B4802"/>
    <w:rsid w:val="002B49B3"/>
    <w:rsid w:val="002B5D86"/>
    <w:rsid w:val="002B6DCC"/>
    <w:rsid w:val="002B7AD4"/>
    <w:rsid w:val="002C6D4C"/>
    <w:rsid w:val="002D3A9C"/>
    <w:rsid w:val="002D6410"/>
    <w:rsid w:val="002D7F47"/>
    <w:rsid w:val="002E28CB"/>
    <w:rsid w:val="002E4A8A"/>
    <w:rsid w:val="002E6B37"/>
    <w:rsid w:val="002F548D"/>
    <w:rsid w:val="003021A3"/>
    <w:rsid w:val="00306CD5"/>
    <w:rsid w:val="00310028"/>
    <w:rsid w:val="00310532"/>
    <w:rsid w:val="003110AE"/>
    <w:rsid w:val="00313D73"/>
    <w:rsid w:val="00315C3B"/>
    <w:rsid w:val="00316920"/>
    <w:rsid w:val="00321DF6"/>
    <w:rsid w:val="00322C41"/>
    <w:rsid w:val="00325779"/>
    <w:rsid w:val="00355BCC"/>
    <w:rsid w:val="00357EAB"/>
    <w:rsid w:val="00360A44"/>
    <w:rsid w:val="00362447"/>
    <w:rsid w:val="00363BB3"/>
    <w:rsid w:val="00366FF3"/>
    <w:rsid w:val="00367C30"/>
    <w:rsid w:val="0037555A"/>
    <w:rsid w:val="00377E10"/>
    <w:rsid w:val="00380D66"/>
    <w:rsid w:val="00383611"/>
    <w:rsid w:val="00384629"/>
    <w:rsid w:val="00384FE9"/>
    <w:rsid w:val="00385A2C"/>
    <w:rsid w:val="003936A2"/>
    <w:rsid w:val="003B02E5"/>
    <w:rsid w:val="003B03C6"/>
    <w:rsid w:val="003B0A98"/>
    <w:rsid w:val="003B59D6"/>
    <w:rsid w:val="003C0A0D"/>
    <w:rsid w:val="003C33CD"/>
    <w:rsid w:val="003C576E"/>
    <w:rsid w:val="003D1C3B"/>
    <w:rsid w:val="003D2B30"/>
    <w:rsid w:val="003D2BE3"/>
    <w:rsid w:val="003D62AD"/>
    <w:rsid w:val="003D6599"/>
    <w:rsid w:val="003D7216"/>
    <w:rsid w:val="003D790A"/>
    <w:rsid w:val="003E060B"/>
    <w:rsid w:val="003E14A9"/>
    <w:rsid w:val="003E3650"/>
    <w:rsid w:val="003E5324"/>
    <w:rsid w:val="003E5BD0"/>
    <w:rsid w:val="003E6412"/>
    <w:rsid w:val="003F077E"/>
    <w:rsid w:val="003F17F4"/>
    <w:rsid w:val="003F501B"/>
    <w:rsid w:val="003F6FF9"/>
    <w:rsid w:val="003F7DA0"/>
    <w:rsid w:val="004006A0"/>
    <w:rsid w:val="00400701"/>
    <w:rsid w:val="004012F1"/>
    <w:rsid w:val="004036CE"/>
    <w:rsid w:val="00405510"/>
    <w:rsid w:val="004057D4"/>
    <w:rsid w:val="00405DEC"/>
    <w:rsid w:val="004212B6"/>
    <w:rsid w:val="004215B2"/>
    <w:rsid w:val="004353D4"/>
    <w:rsid w:val="00441A09"/>
    <w:rsid w:val="004460E0"/>
    <w:rsid w:val="00450352"/>
    <w:rsid w:val="00461B93"/>
    <w:rsid w:val="00480A44"/>
    <w:rsid w:val="00484DAF"/>
    <w:rsid w:val="00491F71"/>
    <w:rsid w:val="00493659"/>
    <w:rsid w:val="004941EA"/>
    <w:rsid w:val="004A0168"/>
    <w:rsid w:val="004A2064"/>
    <w:rsid w:val="004A624A"/>
    <w:rsid w:val="004C1D37"/>
    <w:rsid w:val="004C4833"/>
    <w:rsid w:val="004C62AB"/>
    <w:rsid w:val="004C7436"/>
    <w:rsid w:val="004C7A40"/>
    <w:rsid w:val="004D17A1"/>
    <w:rsid w:val="004D2882"/>
    <w:rsid w:val="004D312F"/>
    <w:rsid w:val="004D3CDC"/>
    <w:rsid w:val="004E034B"/>
    <w:rsid w:val="004E2363"/>
    <w:rsid w:val="004E2B28"/>
    <w:rsid w:val="004E2BC2"/>
    <w:rsid w:val="004E46A8"/>
    <w:rsid w:val="004E5C8D"/>
    <w:rsid w:val="004E5E94"/>
    <w:rsid w:val="004E61E2"/>
    <w:rsid w:val="004E7D72"/>
    <w:rsid w:val="004F0490"/>
    <w:rsid w:val="004F1B60"/>
    <w:rsid w:val="004F505A"/>
    <w:rsid w:val="004F68EA"/>
    <w:rsid w:val="004F6B70"/>
    <w:rsid w:val="005004BE"/>
    <w:rsid w:val="005018AF"/>
    <w:rsid w:val="00502EBE"/>
    <w:rsid w:val="00504C3A"/>
    <w:rsid w:val="00505E90"/>
    <w:rsid w:val="00505FB4"/>
    <w:rsid w:val="00507160"/>
    <w:rsid w:val="00511C1C"/>
    <w:rsid w:val="00515490"/>
    <w:rsid w:val="00521E1E"/>
    <w:rsid w:val="00524DC0"/>
    <w:rsid w:val="005269C8"/>
    <w:rsid w:val="005269D8"/>
    <w:rsid w:val="00532476"/>
    <w:rsid w:val="0053293E"/>
    <w:rsid w:val="00537F53"/>
    <w:rsid w:val="0054035F"/>
    <w:rsid w:val="005420DC"/>
    <w:rsid w:val="005447FB"/>
    <w:rsid w:val="0054734B"/>
    <w:rsid w:val="0055208F"/>
    <w:rsid w:val="00553203"/>
    <w:rsid w:val="005558D2"/>
    <w:rsid w:val="005636D0"/>
    <w:rsid w:val="00564E8A"/>
    <w:rsid w:val="00565C3B"/>
    <w:rsid w:val="00566A0A"/>
    <w:rsid w:val="0057452E"/>
    <w:rsid w:val="00574A33"/>
    <w:rsid w:val="00575285"/>
    <w:rsid w:val="00576D6D"/>
    <w:rsid w:val="00577D89"/>
    <w:rsid w:val="00584601"/>
    <w:rsid w:val="00591910"/>
    <w:rsid w:val="00591EFD"/>
    <w:rsid w:val="005946F4"/>
    <w:rsid w:val="00595A5B"/>
    <w:rsid w:val="00597405"/>
    <w:rsid w:val="005A1A0B"/>
    <w:rsid w:val="005A2AF1"/>
    <w:rsid w:val="005A2F9C"/>
    <w:rsid w:val="005A37AE"/>
    <w:rsid w:val="005A5327"/>
    <w:rsid w:val="005B0D96"/>
    <w:rsid w:val="005B1271"/>
    <w:rsid w:val="005B4CBF"/>
    <w:rsid w:val="005B7550"/>
    <w:rsid w:val="005C4E94"/>
    <w:rsid w:val="005D4300"/>
    <w:rsid w:val="005D5506"/>
    <w:rsid w:val="005E288A"/>
    <w:rsid w:val="005E2B9D"/>
    <w:rsid w:val="005E2D21"/>
    <w:rsid w:val="005E5B5D"/>
    <w:rsid w:val="005F2AD8"/>
    <w:rsid w:val="005F5AB5"/>
    <w:rsid w:val="005F650E"/>
    <w:rsid w:val="005F7D06"/>
    <w:rsid w:val="006110E0"/>
    <w:rsid w:val="00611D02"/>
    <w:rsid w:val="00622347"/>
    <w:rsid w:val="0063145E"/>
    <w:rsid w:val="00634709"/>
    <w:rsid w:val="0063479A"/>
    <w:rsid w:val="00635286"/>
    <w:rsid w:val="00637CBB"/>
    <w:rsid w:val="00645D7F"/>
    <w:rsid w:val="00653DD9"/>
    <w:rsid w:val="00654AE0"/>
    <w:rsid w:val="006701A1"/>
    <w:rsid w:val="00673C6F"/>
    <w:rsid w:val="006741F6"/>
    <w:rsid w:val="00690E7B"/>
    <w:rsid w:val="00694CC6"/>
    <w:rsid w:val="006957CD"/>
    <w:rsid w:val="00696634"/>
    <w:rsid w:val="00697623"/>
    <w:rsid w:val="006A0AE8"/>
    <w:rsid w:val="006B330E"/>
    <w:rsid w:val="006B5AAE"/>
    <w:rsid w:val="006B71E1"/>
    <w:rsid w:val="006B7FC3"/>
    <w:rsid w:val="006C2713"/>
    <w:rsid w:val="006C4DB9"/>
    <w:rsid w:val="006D40A6"/>
    <w:rsid w:val="006D4A5A"/>
    <w:rsid w:val="006E3966"/>
    <w:rsid w:val="006E3CEA"/>
    <w:rsid w:val="006E5FBD"/>
    <w:rsid w:val="006E7AC6"/>
    <w:rsid w:val="006F50AE"/>
    <w:rsid w:val="006F5C9E"/>
    <w:rsid w:val="007020CC"/>
    <w:rsid w:val="00702F86"/>
    <w:rsid w:val="0071313B"/>
    <w:rsid w:val="00713C3B"/>
    <w:rsid w:val="007142CB"/>
    <w:rsid w:val="0072327E"/>
    <w:rsid w:val="00727085"/>
    <w:rsid w:val="00734E87"/>
    <w:rsid w:val="007360C1"/>
    <w:rsid w:val="00743E77"/>
    <w:rsid w:val="00746F5C"/>
    <w:rsid w:val="00755197"/>
    <w:rsid w:val="0076672E"/>
    <w:rsid w:val="00766F5C"/>
    <w:rsid w:val="007716DE"/>
    <w:rsid w:val="00774EA4"/>
    <w:rsid w:val="00775D3F"/>
    <w:rsid w:val="00791448"/>
    <w:rsid w:val="00793F40"/>
    <w:rsid w:val="007A7C9A"/>
    <w:rsid w:val="007B1A35"/>
    <w:rsid w:val="007B4497"/>
    <w:rsid w:val="007B6D5F"/>
    <w:rsid w:val="007C047D"/>
    <w:rsid w:val="007C309F"/>
    <w:rsid w:val="007C3FE8"/>
    <w:rsid w:val="007D474D"/>
    <w:rsid w:val="007D496C"/>
    <w:rsid w:val="007D662A"/>
    <w:rsid w:val="007E1E73"/>
    <w:rsid w:val="007F1A74"/>
    <w:rsid w:val="007F5F1B"/>
    <w:rsid w:val="00801638"/>
    <w:rsid w:val="0080167C"/>
    <w:rsid w:val="0080653A"/>
    <w:rsid w:val="00811552"/>
    <w:rsid w:val="0081295B"/>
    <w:rsid w:val="008172CA"/>
    <w:rsid w:val="00817758"/>
    <w:rsid w:val="00821434"/>
    <w:rsid w:val="008238BD"/>
    <w:rsid w:val="008263DF"/>
    <w:rsid w:val="008345D7"/>
    <w:rsid w:val="00834970"/>
    <w:rsid w:val="00835A6B"/>
    <w:rsid w:val="008366C8"/>
    <w:rsid w:val="008372F9"/>
    <w:rsid w:val="00842913"/>
    <w:rsid w:val="0084594E"/>
    <w:rsid w:val="00845F2B"/>
    <w:rsid w:val="0085481E"/>
    <w:rsid w:val="00856F6A"/>
    <w:rsid w:val="00875CDB"/>
    <w:rsid w:val="00875DD2"/>
    <w:rsid w:val="0088107F"/>
    <w:rsid w:val="008812BB"/>
    <w:rsid w:val="008858AF"/>
    <w:rsid w:val="00886405"/>
    <w:rsid w:val="008A0457"/>
    <w:rsid w:val="008A1C06"/>
    <w:rsid w:val="008A351B"/>
    <w:rsid w:val="008A5042"/>
    <w:rsid w:val="008B11EF"/>
    <w:rsid w:val="008B1480"/>
    <w:rsid w:val="008B18BD"/>
    <w:rsid w:val="008B1C00"/>
    <w:rsid w:val="008B5919"/>
    <w:rsid w:val="008B596E"/>
    <w:rsid w:val="008B7162"/>
    <w:rsid w:val="008B75BB"/>
    <w:rsid w:val="008C1819"/>
    <w:rsid w:val="008C34B4"/>
    <w:rsid w:val="008C4DF5"/>
    <w:rsid w:val="008C64D5"/>
    <w:rsid w:val="008C6AA3"/>
    <w:rsid w:val="008D49CC"/>
    <w:rsid w:val="008E0786"/>
    <w:rsid w:val="008E19F5"/>
    <w:rsid w:val="008E225C"/>
    <w:rsid w:val="00900B5F"/>
    <w:rsid w:val="0090107D"/>
    <w:rsid w:val="00902E6F"/>
    <w:rsid w:val="00903D33"/>
    <w:rsid w:val="0090646C"/>
    <w:rsid w:val="00906CEA"/>
    <w:rsid w:val="00910C1A"/>
    <w:rsid w:val="009114B1"/>
    <w:rsid w:val="009154DF"/>
    <w:rsid w:val="00915B26"/>
    <w:rsid w:val="00920122"/>
    <w:rsid w:val="00920D66"/>
    <w:rsid w:val="009257F2"/>
    <w:rsid w:val="0093321F"/>
    <w:rsid w:val="0093628B"/>
    <w:rsid w:val="00936EFE"/>
    <w:rsid w:val="00940EFF"/>
    <w:rsid w:val="009422E4"/>
    <w:rsid w:val="0094253B"/>
    <w:rsid w:val="00951D1E"/>
    <w:rsid w:val="00953A2F"/>
    <w:rsid w:val="00970663"/>
    <w:rsid w:val="00973438"/>
    <w:rsid w:val="009736C3"/>
    <w:rsid w:val="009816DC"/>
    <w:rsid w:val="00981A73"/>
    <w:rsid w:val="00981AA1"/>
    <w:rsid w:val="00983859"/>
    <w:rsid w:val="00987D2B"/>
    <w:rsid w:val="009954B5"/>
    <w:rsid w:val="00996B56"/>
    <w:rsid w:val="009A3FDE"/>
    <w:rsid w:val="009A41B6"/>
    <w:rsid w:val="009A52F0"/>
    <w:rsid w:val="009C0B34"/>
    <w:rsid w:val="009C47AE"/>
    <w:rsid w:val="009C71BE"/>
    <w:rsid w:val="009D1237"/>
    <w:rsid w:val="009D28EA"/>
    <w:rsid w:val="009D432A"/>
    <w:rsid w:val="009D43F6"/>
    <w:rsid w:val="009D5EF6"/>
    <w:rsid w:val="009E701C"/>
    <w:rsid w:val="009F16F5"/>
    <w:rsid w:val="009F4E34"/>
    <w:rsid w:val="009F52D1"/>
    <w:rsid w:val="00A00373"/>
    <w:rsid w:val="00A05411"/>
    <w:rsid w:val="00A12741"/>
    <w:rsid w:val="00A2104C"/>
    <w:rsid w:val="00A21936"/>
    <w:rsid w:val="00A27D1D"/>
    <w:rsid w:val="00A27E62"/>
    <w:rsid w:val="00A302FB"/>
    <w:rsid w:val="00A33774"/>
    <w:rsid w:val="00A34F78"/>
    <w:rsid w:val="00A37433"/>
    <w:rsid w:val="00A47739"/>
    <w:rsid w:val="00A47F6F"/>
    <w:rsid w:val="00A5139A"/>
    <w:rsid w:val="00A51515"/>
    <w:rsid w:val="00A530D8"/>
    <w:rsid w:val="00A53CAF"/>
    <w:rsid w:val="00A54B38"/>
    <w:rsid w:val="00A55B71"/>
    <w:rsid w:val="00A55CB8"/>
    <w:rsid w:val="00A56975"/>
    <w:rsid w:val="00A601F4"/>
    <w:rsid w:val="00A62541"/>
    <w:rsid w:val="00A657A9"/>
    <w:rsid w:val="00A72E9E"/>
    <w:rsid w:val="00A72F03"/>
    <w:rsid w:val="00A75B39"/>
    <w:rsid w:val="00A81356"/>
    <w:rsid w:val="00A83ED4"/>
    <w:rsid w:val="00A85BC6"/>
    <w:rsid w:val="00A93E22"/>
    <w:rsid w:val="00AA4034"/>
    <w:rsid w:val="00AB4DEC"/>
    <w:rsid w:val="00AB770A"/>
    <w:rsid w:val="00AC0FFE"/>
    <w:rsid w:val="00AC1F37"/>
    <w:rsid w:val="00AC263F"/>
    <w:rsid w:val="00AC41AF"/>
    <w:rsid w:val="00AD19D5"/>
    <w:rsid w:val="00AE2A89"/>
    <w:rsid w:val="00AE689E"/>
    <w:rsid w:val="00AE6EB7"/>
    <w:rsid w:val="00AF6916"/>
    <w:rsid w:val="00AF7051"/>
    <w:rsid w:val="00AF752C"/>
    <w:rsid w:val="00B11D78"/>
    <w:rsid w:val="00B1269A"/>
    <w:rsid w:val="00B12D90"/>
    <w:rsid w:val="00B224DA"/>
    <w:rsid w:val="00B228CF"/>
    <w:rsid w:val="00B24C2F"/>
    <w:rsid w:val="00B24DC8"/>
    <w:rsid w:val="00B26950"/>
    <w:rsid w:val="00B30455"/>
    <w:rsid w:val="00B36BC1"/>
    <w:rsid w:val="00B3757D"/>
    <w:rsid w:val="00B415C6"/>
    <w:rsid w:val="00B435AB"/>
    <w:rsid w:val="00B4505E"/>
    <w:rsid w:val="00B46A48"/>
    <w:rsid w:val="00B50254"/>
    <w:rsid w:val="00B53050"/>
    <w:rsid w:val="00B55398"/>
    <w:rsid w:val="00B56A49"/>
    <w:rsid w:val="00B56A95"/>
    <w:rsid w:val="00B623CB"/>
    <w:rsid w:val="00B6337C"/>
    <w:rsid w:val="00B651BD"/>
    <w:rsid w:val="00B72E8D"/>
    <w:rsid w:val="00B77F18"/>
    <w:rsid w:val="00B8182A"/>
    <w:rsid w:val="00B8236C"/>
    <w:rsid w:val="00B8517C"/>
    <w:rsid w:val="00B85C47"/>
    <w:rsid w:val="00B90006"/>
    <w:rsid w:val="00B914B4"/>
    <w:rsid w:val="00B92523"/>
    <w:rsid w:val="00B95F4E"/>
    <w:rsid w:val="00B97A38"/>
    <w:rsid w:val="00BB1D51"/>
    <w:rsid w:val="00BB26AC"/>
    <w:rsid w:val="00BB47EC"/>
    <w:rsid w:val="00BB7B68"/>
    <w:rsid w:val="00BB7E28"/>
    <w:rsid w:val="00BC44BF"/>
    <w:rsid w:val="00BE5BA5"/>
    <w:rsid w:val="00BE6F85"/>
    <w:rsid w:val="00BF1BCC"/>
    <w:rsid w:val="00BF6E98"/>
    <w:rsid w:val="00C017C7"/>
    <w:rsid w:val="00C01B74"/>
    <w:rsid w:val="00C10322"/>
    <w:rsid w:val="00C11BC7"/>
    <w:rsid w:val="00C133AD"/>
    <w:rsid w:val="00C136FE"/>
    <w:rsid w:val="00C1706D"/>
    <w:rsid w:val="00C20AF7"/>
    <w:rsid w:val="00C2232A"/>
    <w:rsid w:val="00C22CB5"/>
    <w:rsid w:val="00C23658"/>
    <w:rsid w:val="00C2434C"/>
    <w:rsid w:val="00C30649"/>
    <w:rsid w:val="00C4061C"/>
    <w:rsid w:val="00C40D89"/>
    <w:rsid w:val="00C4138E"/>
    <w:rsid w:val="00C43AA9"/>
    <w:rsid w:val="00C4553B"/>
    <w:rsid w:val="00C52AA5"/>
    <w:rsid w:val="00C56A51"/>
    <w:rsid w:val="00C61A21"/>
    <w:rsid w:val="00C62127"/>
    <w:rsid w:val="00C64B59"/>
    <w:rsid w:val="00C73C4B"/>
    <w:rsid w:val="00C74820"/>
    <w:rsid w:val="00C90F5A"/>
    <w:rsid w:val="00C924B1"/>
    <w:rsid w:val="00C9309A"/>
    <w:rsid w:val="00C93181"/>
    <w:rsid w:val="00C94173"/>
    <w:rsid w:val="00CA021A"/>
    <w:rsid w:val="00CA1332"/>
    <w:rsid w:val="00CA27D0"/>
    <w:rsid w:val="00CA52E9"/>
    <w:rsid w:val="00CA594C"/>
    <w:rsid w:val="00CB4BA6"/>
    <w:rsid w:val="00CC1971"/>
    <w:rsid w:val="00CC4760"/>
    <w:rsid w:val="00CD45F9"/>
    <w:rsid w:val="00CD6AB5"/>
    <w:rsid w:val="00CE0595"/>
    <w:rsid w:val="00CE073B"/>
    <w:rsid w:val="00CE2237"/>
    <w:rsid w:val="00CE2EB5"/>
    <w:rsid w:val="00CE5514"/>
    <w:rsid w:val="00CE595F"/>
    <w:rsid w:val="00CF76EC"/>
    <w:rsid w:val="00D061E0"/>
    <w:rsid w:val="00D15EF4"/>
    <w:rsid w:val="00D17D53"/>
    <w:rsid w:val="00D20304"/>
    <w:rsid w:val="00D25CFB"/>
    <w:rsid w:val="00D25D94"/>
    <w:rsid w:val="00D30BEA"/>
    <w:rsid w:val="00D30E5F"/>
    <w:rsid w:val="00D3111D"/>
    <w:rsid w:val="00D338CB"/>
    <w:rsid w:val="00D33BAC"/>
    <w:rsid w:val="00D3660B"/>
    <w:rsid w:val="00D41F0E"/>
    <w:rsid w:val="00D42781"/>
    <w:rsid w:val="00D4512F"/>
    <w:rsid w:val="00D53C59"/>
    <w:rsid w:val="00D54834"/>
    <w:rsid w:val="00D562F0"/>
    <w:rsid w:val="00D56A17"/>
    <w:rsid w:val="00D56EB0"/>
    <w:rsid w:val="00D62C14"/>
    <w:rsid w:val="00D63238"/>
    <w:rsid w:val="00D63660"/>
    <w:rsid w:val="00D66D1E"/>
    <w:rsid w:val="00D70827"/>
    <w:rsid w:val="00D71A8F"/>
    <w:rsid w:val="00D729FD"/>
    <w:rsid w:val="00D75143"/>
    <w:rsid w:val="00D90696"/>
    <w:rsid w:val="00D95428"/>
    <w:rsid w:val="00D9565E"/>
    <w:rsid w:val="00DB0B12"/>
    <w:rsid w:val="00DB1FDA"/>
    <w:rsid w:val="00DB3305"/>
    <w:rsid w:val="00DC019E"/>
    <w:rsid w:val="00DC1F5F"/>
    <w:rsid w:val="00DC1FB4"/>
    <w:rsid w:val="00DD3785"/>
    <w:rsid w:val="00DD3A09"/>
    <w:rsid w:val="00DE0424"/>
    <w:rsid w:val="00DE13BF"/>
    <w:rsid w:val="00DE5AAF"/>
    <w:rsid w:val="00DE7549"/>
    <w:rsid w:val="00DE799E"/>
    <w:rsid w:val="00DF339A"/>
    <w:rsid w:val="00DF5DAE"/>
    <w:rsid w:val="00DF653D"/>
    <w:rsid w:val="00E0186E"/>
    <w:rsid w:val="00E02AB3"/>
    <w:rsid w:val="00E07E06"/>
    <w:rsid w:val="00E11635"/>
    <w:rsid w:val="00E13E71"/>
    <w:rsid w:val="00E14626"/>
    <w:rsid w:val="00E1495B"/>
    <w:rsid w:val="00E226AE"/>
    <w:rsid w:val="00E22BDB"/>
    <w:rsid w:val="00E2339E"/>
    <w:rsid w:val="00E23845"/>
    <w:rsid w:val="00E276A1"/>
    <w:rsid w:val="00E30BC8"/>
    <w:rsid w:val="00E32647"/>
    <w:rsid w:val="00E33F05"/>
    <w:rsid w:val="00E34F4C"/>
    <w:rsid w:val="00E44018"/>
    <w:rsid w:val="00E5402D"/>
    <w:rsid w:val="00E67BC9"/>
    <w:rsid w:val="00E70891"/>
    <w:rsid w:val="00E73475"/>
    <w:rsid w:val="00E763DD"/>
    <w:rsid w:val="00E76683"/>
    <w:rsid w:val="00E828CC"/>
    <w:rsid w:val="00E83496"/>
    <w:rsid w:val="00E8679B"/>
    <w:rsid w:val="00E95290"/>
    <w:rsid w:val="00E967FF"/>
    <w:rsid w:val="00EA1C44"/>
    <w:rsid w:val="00EA2D19"/>
    <w:rsid w:val="00EA4BE5"/>
    <w:rsid w:val="00EB0FB3"/>
    <w:rsid w:val="00EB4785"/>
    <w:rsid w:val="00EB6F7A"/>
    <w:rsid w:val="00EC04D8"/>
    <w:rsid w:val="00ED09FA"/>
    <w:rsid w:val="00ED413E"/>
    <w:rsid w:val="00ED6D74"/>
    <w:rsid w:val="00ED736D"/>
    <w:rsid w:val="00EE3722"/>
    <w:rsid w:val="00EE68E7"/>
    <w:rsid w:val="00EF1750"/>
    <w:rsid w:val="00EF1AAC"/>
    <w:rsid w:val="00EF2941"/>
    <w:rsid w:val="00F0118A"/>
    <w:rsid w:val="00F0311C"/>
    <w:rsid w:val="00F042BB"/>
    <w:rsid w:val="00F13E86"/>
    <w:rsid w:val="00F1566F"/>
    <w:rsid w:val="00F15BF8"/>
    <w:rsid w:val="00F24AEB"/>
    <w:rsid w:val="00F26943"/>
    <w:rsid w:val="00F27F07"/>
    <w:rsid w:val="00F340B9"/>
    <w:rsid w:val="00F34FBB"/>
    <w:rsid w:val="00F40878"/>
    <w:rsid w:val="00F459C2"/>
    <w:rsid w:val="00F47C44"/>
    <w:rsid w:val="00F515B7"/>
    <w:rsid w:val="00F523B5"/>
    <w:rsid w:val="00F52AB3"/>
    <w:rsid w:val="00F52EA4"/>
    <w:rsid w:val="00F55CD4"/>
    <w:rsid w:val="00F56DD7"/>
    <w:rsid w:val="00F57044"/>
    <w:rsid w:val="00F745B0"/>
    <w:rsid w:val="00F84005"/>
    <w:rsid w:val="00F867C6"/>
    <w:rsid w:val="00F87816"/>
    <w:rsid w:val="00F9222B"/>
    <w:rsid w:val="00F92B52"/>
    <w:rsid w:val="00F95F29"/>
    <w:rsid w:val="00F97615"/>
    <w:rsid w:val="00FA06A7"/>
    <w:rsid w:val="00FA0DD5"/>
    <w:rsid w:val="00FA167B"/>
    <w:rsid w:val="00FA1723"/>
    <w:rsid w:val="00FA543B"/>
    <w:rsid w:val="00FB038B"/>
    <w:rsid w:val="00FB202C"/>
    <w:rsid w:val="00FB5FF3"/>
    <w:rsid w:val="00FB60FC"/>
    <w:rsid w:val="00FC68C5"/>
    <w:rsid w:val="00FD02A5"/>
    <w:rsid w:val="00FD78B2"/>
    <w:rsid w:val="00FD7DA3"/>
    <w:rsid w:val="00FD7EDE"/>
    <w:rsid w:val="00FE1E22"/>
    <w:rsid w:val="00FE2C1F"/>
    <w:rsid w:val="00FE3ADF"/>
    <w:rsid w:val="00FE5FC7"/>
    <w:rsid w:val="00FE6645"/>
    <w:rsid w:val="00FF1662"/>
    <w:rsid w:val="00FF34C8"/>
    <w:rsid w:val="00FF61C5"/>
    <w:rsid w:val="00FF6A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E520"/>
  <w15:chartTrackingRefBased/>
  <w15:docId w15:val="{0405CC64-1386-4F3F-90B6-C8A17638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1F4"/>
    <w:pPr>
      <w:ind w:left="720"/>
      <w:contextualSpacing/>
    </w:pPr>
  </w:style>
  <w:style w:type="character" w:styleId="Hyperlink">
    <w:name w:val="Hyperlink"/>
    <w:basedOn w:val="DefaultParagraphFont"/>
    <w:uiPriority w:val="99"/>
    <w:unhideWhenUsed/>
    <w:rsid w:val="00CE595F"/>
    <w:rPr>
      <w:color w:val="0563C1" w:themeColor="hyperlink"/>
      <w:u w:val="single"/>
    </w:rPr>
  </w:style>
  <w:style w:type="character" w:styleId="UnresolvedMention">
    <w:name w:val="Unresolved Mention"/>
    <w:basedOn w:val="DefaultParagraphFont"/>
    <w:uiPriority w:val="99"/>
    <w:semiHidden/>
    <w:unhideWhenUsed/>
    <w:rsid w:val="00CE595F"/>
    <w:rPr>
      <w:color w:val="605E5C"/>
      <w:shd w:val="clear" w:color="auto" w:fill="E1DFDD"/>
    </w:rPr>
  </w:style>
  <w:style w:type="table" w:styleId="TableGrid">
    <w:name w:val="Table Grid"/>
    <w:basedOn w:val="TableNormal"/>
    <w:uiPriority w:val="39"/>
    <w:rsid w:val="001061E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366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B5919"/>
    <w:pPr>
      <w:spacing w:after="200" w:line="240" w:lineRule="auto"/>
    </w:pPr>
    <w:rPr>
      <w:i/>
      <w:iCs/>
      <w:color w:val="44546A" w:themeColor="text2"/>
      <w:sz w:val="18"/>
      <w:szCs w:val="18"/>
    </w:rPr>
  </w:style>
  <w:style w:type="paragraph" w:styleId="NormalWeb">
    <w:name w:val="Normal (Web)"/>
    <w:basedOn w:val="Normal"/>
    <w:uiPriority w:val="99"/>
    <w:semiHidden/>
    <w:unhideWhenUsed/>
    <w:rsid w:val="007D496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7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623"/>
  </w:style>
  <w:style w:type="paragraph" w:styleId="Footer">
    <w:name w:val="footer"/>
    <w:basedOn w:val="Normal"/>
    <w:link w:val="FooterChar"/>
    <w:uiPriority w:val="99"/>
    <w:unhideWhenUsed/>
    <w:rsid w:val="00697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86284">
      <w:bodyDiv w:val="1"/>
      <w:marLeft w:val="0"/>
      <w:marRight w:val="0"/>
      <w:marTop w:val="0"/>
      <w:marBottom w:val="0"/>
      <w:divBdr>
        <w:top w:val="none" w:sz="0" w:space="0" w:color="auto"/>
        <w:left w:val="none" w:sz="0" w:space="0" w:color="auto"/>
        <w:bottom w:val="none" w:sz="0" w:space="0" w:color="auto"/>
        <w:right w:val="none" w:sz="0" w:space="0" w:color="auto"/>
      </w:divBdr>
    </w:div>
    <w:div w:id="187002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rafeldesouky73@gmail.com" TargetMode="External"/><Relationship Id="rId13" Type="http://schemas.openxmlformats.org/officeDocument/2006/relationships/image" Target="media/image5.png"/><Relationship Id="rId18" Type="http://schemas.openxmlformats.org/officeDocument/2006/relationships/hyperlink" Target="https://pubmed.ncbi.nlm.nih.gov/?term=Samartzis+D&amp;cauthor_id=1554169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ncbi.nlm.nih.gov/pubmed/?term=Wright%20IP%5BAuthor%5D&amp;cauthor=true&amp;cauthor_uid=17414911" TargetMode="External"/><Relationship Id="rId2" Type="http://schemas.openxmlformats.org/officeDocument/2006/relationships/numbering" Target="numbering.xml"/><Relationship Id="rId16" Type="http://schemas.openxmlformats.org/officeDocument/2006/relationships/hyperlink" Target="https://www.sciencedirect.com/topics/medicine-and-dentistry/plate-fix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emf"/><Relationship Id="rId19" Type="http://schemas.openxmlformats.org/officeDocument/2006/relationships/hyperlink" Target="https://pubmed.ncbi.nlm.nih.gov/15541695/"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3009E-3FFF-49F2-9417-95B96F78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43582</TotalTime>
  <Pages>12</Pages>
  <Words>5209</Words>
  <Characters>29694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etc</dc:creator>
  <cp:keywords/>
  <dc:description/>
  <cp:lastModifiedBy>ASHRAF.ALTANTAWY@fmed.bu.edu.eg</cp:lastModifiedBy>
  <cp:revision>552</cp:revision>
  <dcterms:created xsi:type="dcterms:W3CDTF">2020-05-22T12:08:00Z</dcterms:created>
  <dcterms:modified xsi:type="dcterms:W3CDTF">2021-09-06T06:55:00Z</dcterms:modified>
</cp:coreProperties>
</file>